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Wusterhagen: Mühlenstau, Nachbarschaft und landrechtliche Ordnung</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 historischer Mühlenstau berührt Eigentum, Gemeinwohl, Nachbarschaft, Aufopferung und obrigkeitliche Genehmigung in einer ALR-Konstellation.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Preußisches Allgemeines Landrecht 1794/1804, Eigentums- und Nachbarrecht, Polizey- und Gemeinwohlgedanken, historische Auslegung.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