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Partnerauftrag — Projekt Nachtfalter</w:t>
      </w:r>
    </w:p>
    <w:p>
      <w:pPr>
        <w:jc w:val="left"/>
      </w:pPr>
      <w:r>
        <w:rPr>
          <w:b/>
        </w:rPr>
        <w:t>Von:</w:t>
      </w:r>
      <w:r>
        <w:t xml:space="preserve"> Dr. Henrike Plessow (Partnerin, M&amp;A/Banking)</w:t>
      </w:r>
    </w:p>
    <w:p>
      <w:pPr>
        <w:jc w:val="left"/>
      </w:pPr>
      <w:r>
        <w:rPr>
          <w:b/>
        </w:rPr>
        <w:t>An:</w:t>
      </w:r>
      <w:r>
        <w:t xml:space="preserve"> Senior Associate Team Projekt Nachtfalter</w:t>
      </w:r>
    </w:p>
    <w:p>
      <w:pPr>
        <w:jc w:val="left"/>
      </w:pPr>
      <w:r>
        <w:rPr>
          <w:b/>
        </w:rPr>
        <w:t>Datum:</w:t>
      </w:r>
      <w:r>
        <w:t xml:space="preserve"> 16.05.2026, 19:42 Uhr</w:t>
      </w:r>
    </w:p>
    <w:p>
      <w:pPr>
        <w:jc w:val="left"/>
      </w:pPr>
      <w:r>
        <w:rPr>
          <w:b/>
        </w:rPr>
        <w:t>Re:</w:t>
      </w:r>
      <w:r>
        <w:t xml:space="preserve"> Projekt Nachtfalter — Übernahme der Heidelberger Präzisionstechnik-Gruppe durch Rheintor Capital / Schuldschein / NPL-Anbau / Management Roll-over</w:t>
      </w:r>
    </w:p>
    <w:p>
      <w:pPr>
        <w:pStyle w:val="Heading2"/>
      </w:pPr>
      <w:r>
        <w:rPr>
          <w:rFonts w:ascii="Times New Roman" w:hAnsi="Times New Roman"/>
        </w:rPr>
        <w:t>Auftrag bis morgen (Mittwoch) 11:00 Uhr</w:t>
      </w:r>
    </w:p>
    <w:p>
      <w:pPr>
        <w:jc w:val="left"/>
      </w:pPr>
      <w:r>
        <w:t xml:space="preserve">Liebes Team, wir haben heute Abend die Bestätigung von Rheintor Capital bekommen, dass sie die Mehrheitsbeteiligung an der </w:t>
      </w:r>
      <w:r>
        <w:rPr>
          <w:b/>
        </w:rPr>
        <w:t>Heidelberger Präzisionstechnik-Gruppe (HPT)</w:t>
      </w:r>
      <w:r>
        <w:t xml:space="preserve"> im Rahmen von Projekt Nachtfalter strukturieren wollen. Die Transaktion umfasst die im Term Sheet skizzierten Bausteine: Eigenkapital von Rheintor Capital, Übernahme bzw. Refinanzierung der bestehenden </w:t>
      </w:r>
      <w:r>
        <w:rPr>
          <w:b/>
        </w:rPr>
        <w:t>Schuldscheindarlehen</w:t>
      </w:r>
      <w:r>
        <w:t xml:space="preserve"> der HPT, </w:t>
      </w:r>
      <w:r>
        <w:rPr>
          <w:b/>
        </w:rPr>
        <w:t>LMA-basierte Akquisitionsfazilität</w:t>
      </w:r>
      <w:r>
        <w:t xml:space="preserve"> des Altgesellschafters, ein kleines </w:t>
      </w:r>
      <w:r>
        <w:rPr>
          <w:b/>
        </w:rPr>
        <w:t>NPL-Portfolio</w:t>
      </w:r>
      <w:r>
        <w:t xml:space="preserve"> aus den HPT-Kundenfinanzierungen sowie ein </w:t>
      </w:r>
      <w:r>
        <w:rPr>
          <w:b/>
        </w:rPr>
        <w:t>Management Roll-over</w:t>
      </w:r>
      <w:r>
        <w:t xml:space="preserve"> (ca. 15 % Beteiligung der bisherigen Geschäftsführung an der NewCo). Der Sponsor will Signing in vier Wochen, also bis Mitte Juni 2026. Bitte bringt mir bis morgen früh:</w:t>
      </w:r>
    </w:p>
    <w:p>
      <w:pPr>
        <w:pStyle w:val="Heading3"/>
      </w:pPr>
      <w:r>
        <w:rPr>
          <w:rFonts w:ascii="Times New Roman" w:hAnsi="Times New Roman"/>
        </w:rPr>
        <w:t>1. Red-Flag-Liste</w:t>
      </w:r>
    </w:p>
    <w:p>
      <w:pPr>
        <w:jc w:val="left"/>
      </w:pPr>
      <w:r>
        <w:t xml:space="preserve">Eine </w:t>
      </w:r>
      <w:r>
        <w:rPr>
          <w:b/>
        </w:rPr>
        <w:t>strukturierte Red-Flag-Liste</w:t>
      </w:r>
      <w:r>
        <w:t xml:space="preserve"> (max. zwei Seiten) zu den vier Bausteinen:</w:t>
      </w:r>
    </w:p>
    <w:p>
      <w:pPr>
        <w:pStyle w:val="ListBullet"/>
      </w:pPr>
      <w:r>
        <w:rPr>
          <w:b/>
        </w:rPr>
        <w:t>Schuldschein-Darlehensverträge der HPT</w:t>
      </w:r>
      <w:r>
        <w:t>: typische Knackpunkte sind Change-of-Control-Klauseln (welche der bestehenden Schuldscheinen lösen ein außerordentliches Kündigungsrecht aus?), Pari-Passu-Verpflichtungen, Negative Pledge mit Reichweite über die Zielgruppe, Cross-Default mit den weiteren HPT-Finanzierungen, kapitalmarktrechtliche Themen falls einzelne Tranchen börsennotiert oder via Schuldschein-Trägervertrag verbrieft sind. Bitte mit konkretem Tranchenbezug aus Aktenstück 03 (Datenraumindex).</w:t>
      </w:r>
    </w:p>
    <w:p>
      <w:pPr>
        <w:pStyle w:val="ListBullet"/>
      </w:pPr>
      <w:r>
        <w:rPr>
          <w:b/>
        </w:rPr>
        <w:t>LMA-basierte Akquisitionsfazilität des Altgesellschafters</w:t>
      </w:r>
      <w:r>
        <w:t xml:space="preserve"> (Senior Term Loan): hier interessiert mich besonders die Definition "Permitted Acquisition", die Margin-Ratchet-Mechanik, die Cure-Right-Frequenz, die EBITDA-Definition (Add-Backs!), die Cov-Lite-Diskussion, die deutsche AGB-rechtliche Wirksamkeit der Standard-LMA-Klauseln und die Frage, ob bei Vollzug von Projekt Nachtfalter ein Mandatory Prepayment ausgelöst wird.</w:t>
      </w:r>
    </w:p>
    <w:p>
      <w:pPr>
        <w:pStyle w:val="ListBullet"/>
      </w:pPr>
      <w:r>
        <w:rPr>
          <w:b/>
        </w:rPr>
        <w:t>NPL-Portfolio</w:t>
      </w:r>
      <w:r>
        <w:t xml:space="preserve"> aus den HPT-Kundenfinanzierungen (nominaler Forderungsbestand laut Term Sheet ca. 18 Mio. EUR, Brutto-Buchwert nach IFRS 9 ca. 7-9 Mio. EUR — bitte aus Aktenstück 05 final ableiten): Hier müsst ihr auf Datenschutz (Art. 6 DSGVO, BDSG § 26), bankgeheimnisrelevante Übertragung (BGH-Linie zur Veräußerung von Bankforderungen — Az im Mandat verifizieren), AGB-Klausel-Wirksamkeit der zugrunde liegenden Kundenverträge und ggf. RDG-Erlaubnispflicht achten. Hat HPT formell den Status als Forderungsverwalter, oder muss die NPL über einen RDG-Lizenzinhaber abgewickelt werden?</w:t>
      </w:r>
    </w:p>
    <w:p>
      <w:pPr>
        <w:pStyle w:val="ListBullet"/>
      </w:pPr>
      <w:r>
        <w:rPr>
          <w:b/>
        </w:rPr>
        <w:t>Management Roll-over</w:t>
      </w:r>
      <w:r>
        <w:t>: Bewertungsmechanik der Roll-over-Beteiligung, Good Leaver / Bad Leaver-Definitionen, Vesting, Drag-Along / Tag-Along im Verhältnis zwischen Rheintor und Management, steuerliche Behandlung der Reinvestition (insbesondere Sicht der Geschäftsführer Dr. Trautner und Herrn Vohwinkel — Vermerk dazu vom Steuerberater liegt teilweise vor).</w:t>
      </w:r>
    </w:p>
    <w:p>
      <w:pPr>
        <w:pStyle w:val="Heading3"/>
      </w:pPr>
      <w:r>
        <w:rPr>
          <w:rFonts w:ascii="Times New Roman" w:hAnsi="Times New Roman"/>
        </w:rPr>
        <w:t>2. Fünf Fragen an die Bankenseite</w:t>
      </w:r>
    </w:p>
    <w:p>
      <w:pPr>
        <w:jc w:val="left"/>
      </w:pPr>
      <w:r>
        <w:t xml:space="preserve">Bitte formuliert </w:t>
      </w:r>
      <w:r>
        <w:rPr>
          <w:b/>
        </w:rPr>
        <w:t>fünf konkrete Fragen</w:t>
      </w:r>
      <w:r>
        <w:t xml:space="preserve"> an die finanzierende Bankenseite, die wir in den nächsten Termsheet-Call (Donnerstag 09:00 Uhr) einbringen können. Bitte keine "Standard-Fragen" sondern Fragen, die wirklich entscheidungsrelevant sind. Beispielsweise:</w:t>
      </w:r>
    </w:p>
    <w:p>
      <w:pPr>
        <w:pStyle w:val="ListBullet"/>
      </w:pPr>
      <w:r>
        <w:t>Ist die Mandated Lead Arranger (MLA) Bank bereit, das Closing auf den 12.06.2026 zu commitsten, auch wenn die Funding-Bestätigung einer zweiten Mandated Bank erst auf den 19.06.2026 vorliegt? Welche Bridge-Lösung wird angeboten?</w:t>
      </w:r>
    </w:p>
    <w:p>
      <w:pPr>
        <w:pStyle w:val="ListBullet"/>
      </w:pPr>
      <w:r>
        <w:t xml:space="preserve">Welche </w:t>
      </w:r>
      <w:r>
        <w:rPr>
          <w:b/>
        </w:rPr>
        <w:t>Material Adverse Change</w:t>
      </w:r>
      <w:r>
        <w:t>-Klausel-Variante (klassische "Snake" vs. "Hold-Harmless") wird angeboten und wie ist sie mit den BaFin-Anforderungen für die Akquisitionsfinanzierung kompatibel?</w:t>
      </w:r>
    </w:p>
    <w:p>
      <w:pPr>
        <w:pStyle w:val="ListBullet"/>
      </w:pPr>
      <w:r>
        <w:t xml:space="preserve">Welche Behandlung der </w:t>
      </w:r>
      <w:r>
        <w:rPr>
          <w:b/>
        </w:rPr>
        <w:t>Schuldschein-Tranchen</w:t>
      </w:r>
      <w:r>
        <w:t xml:space="preserve"> beim Closing — Refinanzierung, Stillstand mit Consent, Mandatory Prepayment? Wie ist die Sponsor-Bereitschaft, allfällige Make-Whole-Forderungen mitzutragen?</w:t>
      </w:r>
    </w:p>
    <w:p>
      <w:pPr>
        <w:pStyle w:val="ListBullet"/>
      </w:pPr>
      <w:r>
        <w:t>Wie ist die Bankenseite zur NPL-Übertragung positioniert — neutral, bevorzugt eigenständige Carve-Out-Struktur, oder Mit-Übertragung? Sicht auf BGH-Linie zur Bankgeheimnis-Übertragung?</w:t>
      </w:r>
    </w:p>
    <w:p>
      <w:pPr>
        <w:pStyle w:val="ListBullet"/>
      </w:pPr>
      <w:r>
        <w:t>usw. — bitte konkret.</w:t>
      </w:r>
    </w:p>
    <w:p>
      <w:pPr>
        <w:pStyle w:val="Heading3"/>
      </w:pPr>
      <w:r>
        <w:rPr>
          <w:rFonts w:ascii="Times New Roman" w:hAnsi="Times New Roman"/>
        </w:rPr>
        <w:t>3. IC-Memo zur Signing-Realisierbarkeit</w:t>
      </w:r>
    </w:p>
    <w:p>
      <w:pPr>
        <w:jc w:val="left"/>
      </w:pPr>
      <w:r>
        <w:t xml:space="preserve">Ein kurzes </w:t>
      </w:r>
      <w:r>
        <w:rPr>
          <w:b/>
        </w:rPr>
        <w:t>IC-Memo (Investment Committee)</w:t>
      </w:r>
      <w:r>
        <w:t xml:space="preserve"> mit der Frage: Schaffen wir Signing bis 12.06.2026? Antwort als </w:t>
      </w:r>
      <w:r>
        <w:rPr>
          <w:b/>
        </w:rPr>
        <w:t>Ampel</w:t>
      </w:r>
      <w:r>
        <w:t xml:space="preserve"> mit drei Sätzen Begründung pro Punkt:</w:t>
      </w:r>
    </w:p>
    <w:p>
      <w:pPr>
        <w:pStyle w:val="ListBullet"/>
      </w:pPr>
      <w:r>
        <w:rPr>
          <w:b/>
        </w:rPr>
        <w:t>Rot:</w:t>
      </w:r>
      <w:r>
        <w:t xml:space="preserve"> Was muss in den nächsten 5 Werktagen passieren, sonst rutscht das Datum (insbesondere Schuldschein-Consents, NPL-Datenschutzfreigabe, finale Roll-over-Bewertung).</w:t>
      </w:r>
    </w:p>
    <w:p>
      <w:pPr>
        <w:pStyle w:val="ListBullet"/>
      </w:pPr>
      <w:r>
        <w:rPr>
          <w:b/>
        </w:rPr>
        <w:t>Gelb:</w:t>
      </w:r>
      <w:r>
        <w:t xml:space="preserve"> Was ist erwartbar verzögert, lässt sich aber im Nachgang heilen (z. B. nachgereichte Disclosure-Letter-Anlagen).</w:t>
      </w:r>
    </w:p>
    <w:p>
      <w:pPr>
        <w:pStyle w:val="ListBullet"/>
      </w:pPr>
      <w:r>
        <w:rPr>
          <w:b/>
        </w:rPr>
        <w:t>Grün:</w:t>
      </w:r>
      <w:r>
        <w:t xml:space="preserve"> Was läuft planmäßig (z. B. Standard-Reps-and-Warranties, Closing-Memo-Struktur).</w:t>
      </w:r>
    </w:p>
    <w:p>
      <w:pPr>
        <w:jc w:val="left"/>
      </w:pPr>
      <w:r>
        <w:t xml:space="preserve">Bitte </w:t>
      </w:r>
      <w:r>
        <w:rPr>
          <w:b/>
        </w:rPr>
        <w:t>keine Allgemeinplätze</w:t>
      </w:r>
      <w:r>
        <w:t xml:space="preserve"> ("Due Diligence läuft", "Drittinformationen ausstehend"). Stattdessen konkrete Workstreams mit Verantwortlichen aus dem Projekt-Nachtfalter-Team (Banking, Tax, Real Estate, IP/IT, Cartel).</w:t>
      </w:r>
    </w:p>
    <w:p>
      <w:pPr>
        <w:pStyle w:val="Heading3"/>
      </w:pPr>
      <w:r>
        <w:rPr>
          <w:rFonts w:ascii="Times New Roman" w:hAnsi="Times New Roman"/>
        </w:rPr>
        <w:t>4. Marktstandard-Hinweise mit Belegen</w:t>
      </w:r>
    </w:p>
    <w:p>
      <w:pPr>
        <w:jc w:val="left"/>
      </w:pPr>
      <w:r>
        <w:rPr>
          <w:b/>
        </w:rPr>
        <w:t>Ganz wichtig:</w:t>
      </w:r>
      <w:r>
        <w:t xml:space="preserve"> Bitte schreibt nicht "üblich" oder "marktüblich", wenn ihr nichts dazu sagen könnt. Wenn etwas Marktstandard sein soll, brauchen wir </w:t>
      </w:r>
      <w:r>
        <w:rPr>
          <w:b/>
        </w:rPr>
        <w:t>den konkreten Dokumentenbezug</w:t>
      </w:r>
      <w:r>
        <w:t xml:space="preserve"> (LMA-Originaltext-Klausel, vorhandene Präzedenz-Termsheets aus unserer Internal Knowledge Database, ICC-Standard, BVK-Empfehlungen etc.). Andernfalls bitte "nicht abschließend belegbar" notieren.</w:t>
      </w:r>
    </w:p>
    <w:p>
      <w:pPr>
        <w:pStyle w:val="Heading2"/>
      </w:pPr>
      <w:r>
        <w:rPr>
          <w:rFonts w:ascii="Times New Roman" w:hAnsi="Times New Roman"/>
        </w:rPr>
        <w:t>Format</w:t>
      </w:r>
    </w:p>
    <w:p>
      <w:pPr>
        <w:pStyle w:val="ListBullet"/>
      </w:pPr>
      <w:r>
        <w:t xml:space="preserve">Eine Markdown-Datei pro Punkt (1 bis 4), Dateinamen: </w:t>
      </w:r>
      <w:r>
        <w:t>02-redflag-liste.md</w:t>
      </w:r>
      <w:r>
        <w:t xml:space="preserve">, </w:t>
      </w:r>
      <w:r>
        <w:t>03-fragen-an-banken.md</w:t>
      </w:r>
      <w:r>
        <w:t xml:space="preserve">, </w:t>
      </w:r>
      <w:r>
        <w:t>04-ic-memo.md</w:t>
      </w:r>
      <w:r>
        <w:t xml:space="preserve">, </w:t>
      </w:r>
      <w:r>
        <w:t>05-marktstandard-belege.md</w:t>
      </w:r>
      <w:r>
        <w:t>.</w:t>
      </w:r>
    </w:p>
    <w:p>
      <w:pPr>
        <w:pStyle w:val="ListBullet"/>
      </w:pPr>
      <w:r>
        <w:t>IC-Memo im Hause: Senior bekommt Vorab-Version mündlich um 09:30 Uhr.</w:t>
      </w:r>
    </w:p>
    <w:p>
      <w:pPr>
        <w:pStyle w:val="ListBullet"/>
      </w:pPr>
      <w:r>
        <w:t>Versand an Rheintor Capital (Senior Originator Christian Riedl) erst nach Rücksprache und Schwärzung der intern-vertraulichen Stellen.</w:t>
      </w:r>
    </w:p>
    <w:p>
      <w:pPr>
        <w:pStyle w:val="Heading2"/>
      </w:pPr>
      <w:r>
        <w:rPr>
          <w:rFonts w:ascii="Times New Roman" w:hAnsi="Times New Roman"/>
        </w:rPr>
        <w:t>Bitte beachten</w:t>
      </w:r>
    </w:p>
    <w:p>
      <w:pPr>
        <w:jc w:val="left"/>
      </w:pPr>
      <w:r>
        <w:t>Wir haben mehrere parallele Mandate aus dem deutschen Mittelstands-PE-Sektor laufen — bitte vorsichtig mit Information Walls und Vertraulichkeit. Insbesondere bei den NPL-Themen darf nichts an die anderen Mandate fließen. Bei Fragen sofort melden, ich bin bis 22:30 Uhr erreichbar und morgen ab 06:30 Uhr wieder am Schreibtisch.</w:t>
      </w:r>
    </w:p>
    <w:p>
      <w:pPr>
        <w:jc w:val="left"/>
      </w:pPr>
      <w:r>
        <w:t>Danke,</w:t>
      </w:r>
    </w:p>
    <w:p>
      <w:pPr>
        <w:jc w:val="left"/>
      </w:pPr>
      <w:r>
        <w:t>Henrike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