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Heidelberg Components GmbH, Fonds Nordtor Capital, Verkäuferfamilie Altmann, Schuldschein-Investoren, Agent Bank und Distressed-Debt-Käufer.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Buyout, Schuldscheinfinanzierung, Covenant-Bruch, NPL-Transfer und Managementbeteiligung verschränken sich in einer angespannten Closing-Situation.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GmbHG, BGB-Abtretung, Schuldscheindarlehen, LMA-nahe Vertragslogik, KWG/ZAG-Abgrenzungen, Insolvenzrecht, AGB und Sicherheitenrecht.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