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Term Sheet — Auszug</w:t>
      </w:r>
    </w:p>
    <w:p>
      <w:pPr>
        <w:jc w:val="left"/>
      </w:pPr>
      <w:r>
        <w:t>Enterprise Value: 224 Mio. EUR.</w:t>
      </w:r>
    </w:p>
    <w:p>
      <w:pPr>
        <w:jc w:val="left"/>
      </w:pPr>
      <w:r>
        <w:t>Kaufpreis: Locked Box 31.12.2025, Leakage-Katalog noch offen.</w:t>
      </w:r>
    </w:p>
    <w:p>
      <w:pPr>
        <w:jc w:val="left"/>
      </w:pPr>
      <w:r>
        <w:t>Finanzierung: 130 Mio. EUR Senior/Unitranche, 25 Mio. EUR Vendor Loan, Management Roll-over 12 %, Sponsor Equity 84 Mio. EUR.</w:t>
      </w:r>
    </w:p>
    <w:p>
      <w:pPr>
        <w:jc w:val="left"/>
      </w:pPr>
      <w:r>
        <w:t>Conditions: Kartellfreigabe Deutschland/Österreich, Schuldschein-Consent soweit erforderlich, Ablösung Altfinanzierung, Management Participation Agreement, keine Material Adverse Change.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