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Schuldscheindarlehen — erste Notiz</w:t>
      </w:r>
    </w:p>
    <w:p>
      <w:pPr>
        <w:jc w:val="left"/>
      </w:pPr>
      <w:r>
        <w:t>Das Schuldscheindarlehen besteht aus drei Tranchen. Die Zahlstelle führt ein Darlehensgeberregister. Eine Übertragung ist nach Dokumentenlage möglich, aber der Borrower soll informiert werden; bei bestimmten Erwerbern besteht ein Zustimmungsvorbehalt. Unklar ist, ob der Erwerber der Schuldscheinposition zugleich Käuferseite/BidCo-Finanzierer sein darf.</w:t>
      </w:r>
    </w:p>
    <w:p>
      <w:pPr>
        <w:pStyle w:val="Heading2"/>
      </w:pPr>
      <w:r>
        <w:rPr>
          <w:rFonts w:ascii="Times New Roman" w:hAnsi="Times New Roman"/>
        </w:rPr>
        <w:t>Zu prüfen</w:t>
      </w:r>
    </w:p>
    <w:p>
      <w:pPr>
        <w:pStyle w:val="ListBullet"/>
      </w:pPr>
      <w:r>
        <w:t>Abtretung oder Vertragsübernahme?</w:t>
      </w:r>
    </w:p>
    <w:p>
      <w:pPr>
        <w:pStyle w:val="ListBullet"/>
      </w:pPr>
      <w:r>
        <w:t>Zustimmung/Notice/Zahlstellenregister.</w:t>
      </w:r>
    </w:p>
    <w:p>
      <w:pPr>
        <w:pStyle w:val="ListBullet"/>
      </w:pPr>
      <w:r>
        <w:t>Sicherheiten und pari-passu-Klauseln.</w:t>
      </w:r>
    </w:p>
    <w:p>
      <w:pPr>
        <w:pStyle w:val="ListBullet"/>
      </w:pPr>
      <w:r>
        <w:t>Datenschutz/Bankgeheimnis beim Investor.</w:t>
      </w:r>
    </w:p>
    <w:p>
      <w:pPr>
        <w:pStyle w:val="ListBullet"/>
      </w:pPr>
      <w:r>
        <w:t>Auswirkungen auf Closing Conditions.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