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LMA-basierte Altfinanzierung — erste Notiz</w:t>
      </w:r>
    </w:p>
    <w:p>
      <w:pPr>
        <w:jc w:val="left"/>
      </w:pPr>
      <w:r>
        <w:t>Der Vertrag ist als englisches Facility Agreement strukturiert. Die Definitionen zu Change of Control, Majority Lenders, Transfer, Assignment, Novation und Prepayment müssen am Originaltext geprüft werden. Keine Annahme, dass 'LMA' automatisch eine bestimmte Fassung bedeutet.</w:t>
      </w:r>
    </w:p>
    <w:p>
      <w:pPr>
        <w:pStyle w:val="Heading2"/>
      </w:pPr>
      <w:r>
        <w:rPr>
          <w:rFonts w:ascii="Times New Roman" w:hAnsi="Times New Roman"/>
        </w:rPr>
        <w:t>Red Flags</w:t>
      </w:r>
    </w:p>
    <w:p>
      <w:pPr>
        <w:pStyle w:val="ListNumber"/>
      </w:pPr>
      <w:r>
        <w:t>Transfer Certificate liegt nicht im Datenraum.</w:t>
      </w:r>
    </w:p>
    <w:p>
      <w:pPr>
        <w:pStyle w:val="ListNumber"/>
      </w:pPr>
      <w:r>
        <w:t>Security Agent verlangt Update des Sicherheitenpakets vor Prepayment.</w:t>
      </w:r>
    </w:p>
    <w:p>
      <w:pPr>
        <w:pStyle w:val="ListNumber"/>
      </w:pPr>
      <w:r>
        <w:t>Ein Hedge-Vertrag hängt an derselben Facility.</w:t>
      </w:r>
    </w:p>
    <w:p>
      <w:pPr>
        <w:pStyle w:val="ListNumber"/>
      </w:pPr>
      <w:r>
        <w:t>Consent-Anforderungen können CP-Zeitplan sprengen.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