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NPL-Portfolio Kundenfinanzierung</w:t>
      </w:r>
    </w:p>
    <w:p>
      <w:pPr>
        <w:jc w:val="left"/>
      </w:pPr>
      <w:r>
        <w:t>Das Target hat 180 Kundenfinanzierungen für Maschinenverkäufe. Davon sind 27 notleidend, Gesamtforderung 6,8 Mio. EUR, erwartete Recovery 2,1 Mio. EUR. Der Verkäufer will das Portfolio vor Closing abspalten; die Käuferseite will es lieber im Working-Capital-Mechanismus sehen.</w:t>
      </w:r>
    </w:p>
    <w:p>
      <w:pPr>
        <w:pStyle w:val="Heading2"/>
      </w:pPr>
      <w:r>
        <w:rPr>
          <w:rFonts w:ascii="Times New Roman" w:hAnsi="Times New Roman"/>
        </w:rPr>
        <w:t>Offene Punkte</w:t>
      </w:r>
    </w:p>
    <w:p>
      <w:pPr>
        <w:pStyle w:val="ListBullet"/>
      </w:pPr>
      <w:r>
        <w:t>Wer ist Kreditgeber, wer Servicer, wer Datenverantwortlicher?</w:t>
      </w:r>
    </w:p>
    <w:p>
      <w:pPr>
        <w:pStyle w:val="ListBullet"/>
      </w:pPr>
      <w:r>
        <w:t>Ist das Kreditzweitmarktgesetz betroffen?</w:t>
      </w:r>
    </w:p>
    <w:p>
      <w:pPr>
        <w:pStyle w:val="ListBullet"/>
      </w:pPr>
      <w:r>
        <w:t>Welche Sicherheiten bestehen an Maschinen?</w:t>
      </w:r>
    </w:p>
    <w:p>
      <w:pPr>
        <w:pStyle w:val="ListBullet"/>
      </w:pPr>
      <w:r>
        <w:t>Gibt es Verbraucherkredite oder nur B2B?</w:t>
      </w:r>
    </w:p>
    <w:p>
      <w:pPr>
        <w:pStyle w:val="ListBullet"/>
      </w:pPr>
      <w:r>
        <w:t>Sind Schuldner über Abtretung/Servicing informiert?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