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Management Roll-over — Projekt Nachtfalter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 xml:space="preserve">CEO Dr. Trautner, CFO Frau Wessels und CTO Herr Vohwinkel der Heidelberger Präzisionstechnik-Gruppe (HPT) wollen mit zusammen </w:t>
      </w:r>
      <w:r>
        <w:rPr>
          <w:b/>
        </w:rPr>
        <w:t>12 %</w:t>
      </w:r>
      <w:r>
        <w:t xml:space="preserve"> an der NewCo reinvestieren (Roll-over ihrer Erlösanteile aus dem Verkauf an Rheintor Capital). Der Sponsor verlangt das übliche Paket: Good-/Bad-Leaver, Vesting, Vesting-Acceleration bei Exit, Non-Compete und Drag-/Tag-Along. Das Management fragt, ob der </w:t>
      </w:r>
      <w:r>
        <w:rPr>
          <w:b/>
        </w:rPr>
        <w:t>Vendor Loan</w:t>
      </w:r>
      <w:r>
        <w:t xml:space="preserve"> die Bewertung ihrer Roll-over-Beteiligung verwässert.</w:t>
      </w:r>
    </w:p>
    <w:p>
      <w:pPr>
        <w:pStyle w:val="Heading2"/>
      </w:pPr>
      <w:r>
        <w:rPr>
          <w:rFonts w:ascii="Times New Roman" w:hAnsi="Times New Roman"/>
        </w:rPr>
        <w:t>Die Vendor-Loan-Frage (Kern der Management-Sorge)</w:t>
      </w:r>
    </w:p>
    <w:p>
      <w:pPr>
        <w:jc w:val="left"/>
      </w:pPr>
      <w:r>
        <w:t>Der Altgesellschafter lässt 15 Mio. EUR als Vendor Loan stehen (nachrangig, PIK-Zins 9 %). Wirkung auf den Roll-over:</w:t>
      </w:r>
    </w:p>
    <w:p>
      <w:pPr>
        <w:pStyle w:val="ListBullet"/>
      </w:pPr>
      <w:r>
        <w:rPr>
          <w:b/>
        </w:rPr>
        <w:t>Strukturhebel</w:t>
      </w:r>
      <w:r>
        <w:t xml:space="preserve">: Der Vendor Loan sitzt ÜBER dem Eigenkapital der NewCo. Bei der Equity-Bewertung der Roll-over-Anteile mindert er — wie jede Verbindlichkeit — den Equity Value: Das Management rollt in eine Gesellschaft, deren Eigenkapitalwert um den Loan gemindert ist. "Verwässerung" ist also der falsche Begriff (die Quote von 12 % bleibt 12 %), aber der </w:t>
      </w:r>
      <w:r>
        <w:rPr>
          <w:b/>
        </w:rPr>
        <w:t>Wert je Prozentpunkt sinkt</w:t>
      </w:r>
      <w:r>
        <w:t>, solange der Loan aussteht.</w:t>
      </w:r>
    </w:p>
    <w:p>
      <w:pPr>
        <w:pStyle w:val="ListBullet"/>
      </w:pPr>
      <w:r>
        <w:rPr>
          <w:b/>
        </w:rPr>
        <w:t>Gegenrechnung</w:t>
      </w:r>
      <w:r>
        <w:t xml:space="preserve">: Der Loan ersetzt teureres Eigenkapital des Sponsors; ohne ihn wäre die Sponsor-Quote höher und die Management-Quote bei gleichem Einsatz niedriger. Entscheidend ist die </w:t>
      </w:r>
      <w:r>
        <w:rPr>
          <w:b/>
        </w:rPr>
        <w:t>Equity-Bridge im Signing-Anhang</w:t>
      </w:r>
      <w:r>
        <w:t>: Enterprise Value → Net Debt (inkl. Vendor Loan, Schuldscheine, NPL-Risikoabschlag) → Equity Value → Preis je Anteil. Diese Bridge muss dem Management offengelegt werden, BEVOR es die Roll-over-Quote akzeptiert.</w:t>
      </w:r>
    </w:p>
    <w:p>
      <w:pPr>
        <w:pStyle w:val="ListBullet"/>
      </w:pPr>
      <w:r>
        <w:rPr>
          <w:b/>
        </w:rPr>
        <w:t>Empfehlung Management-Seite</w:t>
      </w:r>
      <w:r>
        <w:t>: (1) Roll-over-Bewertung auf Basis derselben Equity-Bridge wie der Sponsor-Einstieg (pari passu, kein Bewertungsabschlag); (2) PIK-Zins-Akkumulation des Vendor Loan deckeln oder Equity-Kicker des Verkäufers ausschließen; (3) Wasserfall im Gesellschaftsvertrag transparent: Vendor Loan vor Preferred vor Common — Management rollt in Common, also Klarheit über die Präferenzstruktur des Sponsors (1x non-participating Preferred wäre marktüblich; participating wäre für das Management deutlich schlechter).</w:t>
      </w:r>
    </w:p>
    <w:p>
      <w:pPr>
        <w:pStyle w:val="Heading2"/>
      </w:pPr>
      <w:r>
        <w:rPr>
          <w:rFonts w:ascii="Times New Roman" w:hAnsi="Times New Roman"/>
        </w:rPr>
        <w:t>Leaver-Regelungen — Verhandlungsrahmen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Sponsor-Forderung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Marktübliche Mitte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Management-Ziel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Bad Leaver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 durch Gesellschaft aus jedem Grund + Eigenkündigung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wichtiger Grund (§ 626 BGB-Analogie) + Verstoß gegen Non-Compete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enger Katalog, abschließend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Bad-Leaver-Preis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Nominalwert/Anschaffungskosten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niedrigerer Wert aus Anschaffungskosten und FMV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FMV mit Abschlag max. 20 %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Good Leaver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Tod, Berufsunfähigkeit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 Erreichen Renteneintritt, einvernehmliches Ausscheiden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 Kündigung durch Gesellschaft ohne Grund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Good-Leaver-Preis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FMV gevestet, Anschaffungskosten ungevestet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FMV auf alles ab 50 % Vesting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Vesting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Jahre linear, Cliff 18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Jahre linear, Cliff 12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Jahre, Cliff 12, monatlich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Acceleration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bei Exit (Single Trigger)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Single Trigger + Teilacceleration bei Change of Control ohne Exit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Non-Compete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Jahre post-exit, DACH+EU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Jahre, sachlich auf Präzisionstechnik-Kerngeschäft begrenzt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 Monate, nur Direktwettbewerb, Karenzentschädigung</w:t>
            </w:r>
          </w:p>
        </w:tc>
      </w:tr>
    </w:tbl>
    <w:p>
      <w:pPr>
        <w:jc w:val="left"/>
      </w:pPr>
      <w:r>
        <w:rPr>
          <w:b/>
        </w:rPr>
        <w:t>Rechtlicher Rahmen Non-Compete</w:t>
      </w:r>
      <w:r>
        <w:t>: Nachvertragliche Wettbewerbsverbote der Geschäftsführer sind nur in den Grenzen von § 138 BGB / Art. 12 GG-Wertung wirksam (BGH-Linie: max. 2 Jahre, räumlich/sachlich begrenzt; bei Überschreitung geltungserhaltende Reduktion nicht garantiert). Ohne Karenzentschädigung kippen lange Verbote — anders als bei Arbeitnehmern (§ 74 HGB analog) ist sie bei GmbH-Geschäftsführern nicht zwingend, aber das Argument gehört in die Verhandlung. Beim Roll-over zusätzlich: Verbot auch als gesellschaftsvertragliche Nebenpflicht der Beteiligung konstruieren (Doppelabsicherung des Sponsors — Kündigungsschutz fürs Management entsprechend doppelt verhandeln).</w:t>
      </w:r>
    </w:p>
    <w:p>
      <w:pPr>
        <w:pStyle w:val="Heading2"/>
      </w:pPr>
      <w:r>
        <w:rPr>
          <w:rFonts w:ascii="Times New Roman" w:hAnsi="Times New Roman"/>
        </w:rPr>
        <w:t>Steuerliche Eckpunkte (mit StB abzustimmen)</w:t>
      </w:r>
    </w:p>
    <w:p>
      <w:pPr>
        <w:pStyle w:val="ListBullet"/>
      </w:pPr>
      <w:r>
        <w:rPr>
          <w:b/>
        </w:rPr>
        <w:t>Roll-over als tauschähnlicher Vorgang</w:t>
      </w:r>
      <w:r>
        <w:t xml:space="preserve">: Veräußert das Management HPT-Anteile gegen NewCo-Anteile, droht Aufdeckung stiller Reserven (§ 17 EStG bei ≥ 1 %; Teileinkünfteverfahren). Gestaltung über </w:t>
      </w:r>
      <w:r>
        <w:rPr>
          <w:b/>
        </w:rPr>
        <w:t>Einbringung nach § 21 UmwStG</w:t>
      </w:r>
      <w:r>
        <w:t xml:space="preserve"> (Anteilstausch zu Buchwerten) prüfen — Voraussetzung: NewCo erhält mehrheitsvermittelnde Anteile; bei 12 % Management-Quote nur im Gesamtpaket mit Sponsor-Einbringung darstellbar. Alternativ: echte Wiederanlage nach Versteuerung (einfach, aber teuer).</w:t>
      </w:r>
    </w:p>
    <w:p>
      <w:pPr>
        <w:pStyle w:val="ListBullet"/>
      </w:pPr>
      <w:r>
        <w:rPr>
          <w:b/>
        </w:rPr>
        <w:t>Dry-Income-Falle bei Sweet Equity</w:t>
      </w:r>
      <w:r>
        <w:t>: Erwerben Manager Anteile unter Verkehrswert, ist die Differenz Arbeitslohn (§ 19 EStG; BFH-Rechtsprechung zu Managementbeteiligungen — Verkehrswertnachweis durch die Equity-Bridge dokumentieren!). Saubere Bewertungsdokumentation schützt vor Lohnsteuer-Nachforderungen bei der Betriebsprüfung.</w:t>
      </w:r>
    </w:p>
    <w:p>
      <w:pPr>
        <w:pStyle w:val="ListBullet"/>
      </w:pPr>
      <w:r>
        <w:rPr>
          <w:b/>
        </w:rPr>
        <w:t>§ 19a EStG</w:t>
      </w:r>
      <w:r>
        <w:t xml:space="preserve"> (aufgeschobene Besteuerung) greift für die HPT-Größenklasse nicht — nicht versprechen.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Equity-Bridge vom Sponsor anfordern; Roll-over-Bewertung pari passu festschreiben (Term Sheet Ziff. 7 ergänzen).</w:t>
      </w:r>
    </w:p>
    <w:p>
      <w:pPr>
        <w:pStyle w:val="ListNumber"/>
      </w:pPr>
      <w:r>
        <w:t>Leaver-/Vesting-Gegenentwurf nach obiger Tabelle bis Freitag an Rheintor.</w:t>
      </w:r>
    </w:p>
    <w:p>
      <w:pPr>
        <w:pStyle w:val="ListNumber"/>
      </w:pPr>
      <w:r>
        <w:t>Steuerstrukturierungs-Call Management-StB + Kanzlei vor Signing; § 21 UmwStG-Machbarkeit klären.</w:t>
      </w:r>
    </w:p>
    <w:p>
      <w:pPr>
        <w:pStyle w:val="ListNumber"/>
      </w:pPr>
      <w:r>
        <w:t>Non-Compete: Karenzentschädigung und 18-Monats-Grenze als Paket mit dem Bad-Leaver-Katalog verhandeln.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