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IC-Memo — Entwurf</w:t>
      </w:r>
    </w:p>
    <w:p>
      <w:pPr>
        <w:pStyle w:val="Heading2"/>
      </w:pPr>
      <w:r>
        <w:rPr>
          <w:rFonts w:ascii="Times New Roman" w:hAnsi="Times New Roman"/>
        </w:rPr>
        <w:t>Deal-These</w:t>
      </w:r>
    </w:p>
    <w:p>
      <w:pPr>
        <w:jc w:val="left"/>
      </w:pPr>
      <w:r>
        <w:t>Heidelberger Präzisionstechnik ist industriell attraktiv, aber die Finanzierungs- und NPL-Themen sind keine Nebenfragen. Signing in vier Wochen ist nur realistisch, wenn Schuldschein- und LMA-Consents sofort parallel laufen und das NPL-Portfolio eindeutig strukturiert wird.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Go mit Bedingungen:</w:t>
      </w:r>
    </w:p>
    <w:p>
      <w:pPr>
        <w:pStyle w:val="ListNumber"/>
      </w:pPr>
      <w:r>
        <w:t>Schuldschein-Transfermemo bis Freitag.</w:t>
      </w:r>
    </w:p>
    <w:p>
      <w:pPr>
        <w:pStyle w:val="ListNumber"/>
      </w:pPr>
      <w:r>
        <w:t>LMA-Consent-Tracker mit Agent bis Montag.</w:t>
      </w:r>
    </w:p>
    <w:p>
      <w:pPr>
        <w:pStyle w:val="ListNumber"/>
      </w:pPr>
      <w:r>
        <w:t>NPL-KrZwMG/DSGVO-Screening vor Binding Offer.</w:t>
      </w:r>
    </w:p>
    <w:p>
      <w:pPr>
        <w:pStyle w:val="ListNumber"/>
      </w:pPr>
      <w:r>
        <w:t>Management Participation Heads bis Signing-1 Woche.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