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Besprechungsprotokoll</w:t>
      </w:r>
    </w:p>
    <w:p>
      <w:pPr>
        <w:jc w:val="left"/>
      </w:pPr>
      <w:r>
        <w:rPr>
          <w:b/>
        </w:rPr>
        <w:t>Termin:</w:t>
      </w:r>
      <w:r>
        <w:t xml:space="preserve"> Mittwoch, 09:30 bis 11:05 Uhr</w:t>
      </w:r>
    </w:p>
    <w:p>
      <w:pPr>
        <w:jc w:val="left"/>
      </w:pPr>
      <w:r>
        <w:rPr>
          <w:b/>
        </w:rPr>
        <w:t>Teilnehmende:</w:t>
      </w:r>
      <w:r>
        <w:t xml:space="preserve"> Mandatsverantwortliche Person, Sachbearbeitung, Fachabteilung, externe Beratung</w:t>
      </w:r>
    </w:p>
    <w:p>
      <w:pPr>
        <w:jc w:val="left"/>
      </w:pPr>
      <w:r>
        <w:rPr>
          <w:b/>
        </w:rPr>
        <w:t>Gegenstand:</w:t>
      </w:r>
      <w:r>
        <w:t xml:space="preserve"> Akte Heidelberg Components: Private Equity, Schuldschein und NPL-Übertragung</w:t>
      </w:r>
    </w:p>
    <w:p>
      <w:pPr>
        <w:pStyle w:val="Heading2"/>
      </w:pPr>
      <w:r>
        <w:rPr>
          <w:rFonts w:ascii="Times New Roman" w:hAnsi="Times New Roman"/>
        </w:rPr>
        <w:t>1. Einstieg</w:t>
      </w:r>
    </w:p>
    <w:p>
      <w:pPr>
        <w:jc w:val="left"/>
      </w:pPr>
      <w:r>
        <w:t>Die Fachabteilung schildert, der Vorgang sei „eigentlich erledigt“. Auf Nachfrage wird deutlich, dass damit nur die operative Umsetzung gemeint ist. Die rechtliche Dokumentation ist nicht abgeschlossen. Mehrere Unterlagen liegen nur als Weiterleitungen oder Screenshots vor.</w:t>
      </w:r>
    </w:p>
    <w:p>
      <w:pPr>
        <w:pStyle w:val="Heading2"/>
      </w:pPr>
      <w:r>
        <w:rPr>
          <w:rFonts w:ascii="Times New Roman" w:hAnsi="Times New Roman"/>
        </w:rPr>
        <w:t>2. Tatsachenklärung</w:t>
      </w:r>
    </w:p>
    <w:p>
      <w:pPr>
        <w:jc w:val="left"/>
      </w:pPr>
      <w:r>
        <w:t>Die Runde arbeitet heraus, dass der zentrale Streit nicht darin liegt, ob überhaupt etwas geschehen ist, sondern wie es rechtlich zu qualifizieren ist. Buyout, Schuldscheinfinanzierung, Covenant-Bruch, NPL-Transfer und Managementbeteiligung verschränken sich in einer angespannten Closing-Situation. Die Akte wird daher nicht chronologisch nach Eingang, sondern nach Beweisthemen geordnet.</w:t>
      </w:r>
    </w:p>
    <w:p>
      <w:pPr>
        <w:pStyle w:val="Heading2"/>
      </w:pPr>
      <w:r>
        <w:rPr>
          <w:rFonts w:ascii="Times New Roman" w:hAnsi="Times New Roman"/>
        </w:rPr>
        <w:t>3. Rechtliche Eckpunkte</w:t>
      </w:r>
    </w:p>
    <w:p>
      <w:pPr>
        <w:jc w:val="left"/>
      </w:pPr>
      <w:r>
        <w:t>Als erste Prüfachse werden notiert: GmbHG, BGB-Abtretung, Schuldscheindarlehen, LMA-nahe Vertragslogik, KWG/ZAG-Abgrenzungen, Insolvenzrecht, AGB und Sicherheitenrecht. Die Sachbearbeitung weist darauf hin, dass die Normen nicht schematisch genannt werden dürfen; zu jedem Normkomplex muss eine konkrete Tatsache aus der Akte zugeordnet werden.</w:t>
      </w:r>
    </w:p>
    <w:p>
      <w:pPr>
        <w:pStyle w:val="Heading2"/>
      </w:pPr>
      <w:r>
        <w:rPr>
          <w:rFonts w:ascii="Times New Roman" w:hAnsi="Times New Roman"/>
        </w:rPr>
        <w:t>4. Entscheidungen</w:t>
      </w:r>
    </w:p>
    <w:p>
      <w:pPr>
        <w:pStyle w:val="ListBullet"/>
      </w:pPr>
      <w:r>
        <w:t>Keine finale Außenstellungnahme vor Sichtung der Originaldokumente.</w:t>
      </w:r>
    </w:p>
    <w:p>
      <w:pPr>
        <w:pStyle w:val="ListBullet"/>
      </w:pPr>
      <w:r>
        <w:t>Keine telefonische Einlassung ohne Gesprächsnotiz.</w:t>
      </w:r>
    </w:p>
    <w:p>
      <w:pPr>
        <w:pStyle w:val="ListBullet"/>
      </w:pPr>
      <w:r>
        <w:t>Keine freiwillige Übersendung interner Bewertungen, solange nur Tatsachenunterlagen verlangt sind.</w:t>
      </w:r>
    </w:p>
    <w:p>
      <w:pPr>
        <w:pStyle w:val="ListBullet"/>
      </w:pPr>
      <w:r>
        <w:t>Fristen werden doppelt geführt: materiell-rechtlich und verfahrensrechtlich.</w:t>
      </w:r>
    </w:p>
    <w:p>
      <w:pPr>
        <w:pStyle w:val="Heading2"/>
      </w:pPr>
      <w:r>
        <w:rPr>
          <w:rFonts w:ascii="Times New Roman" w:hAnsi="Times New Roman"/>
        </w:rPr>
        <w:t>5. Arbeitsaufträge</w:t>
      </w:r>
    </w:p>
    <w:p>
      <w:pPr>
        <w:jc w:val="left"/>
      </w:pPr>
      <w:r>
        <w:t>Die Fachabteilung beschafft Originalfassungen, die Rechtsabteilung formuliert eine vorläufige Antwort, die kaufmännische Seite liefert Zahlen und die Mandatsbearbeitung erstellt eine Beweismatrix.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