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Heidelberg Components Buyout</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LOI, SPA, Management Participation, Schuldschein, Covenant Default, NPL-Transfer, Sicherheiten, Closing Mechanics und Sanierungsschnittstelle.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