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Fragen an Facility Agent, Zahlstelle und Banken</w:t>
      </w:r>
    </w:p>
    <w:p>
      <w:pPr>
        <w:pStyle w:val="Heading2"/>
      </w:pPr>
      <w:r>
        <w:rPr>
          <w:rFonts w:ascii="Times New Roman" w:hAnsi="Times New Roman"/>
        </w:rPr>
        <w:t>Schuldschein</w:t>
      </w:r>
    </w:p>
    <w:p>
      <w:pPr>
        <w:pStyle w:val="ListNumber"/>
      </w:pPr>
      <w:r>
        <w:t>Bitte vollständige Schuldscheinbedingungen einschließlich Übertragungsregel, Zustimmungsvorbehalten, Notice-Mechanik und Registerführung.</w:t>
      </w:r>
    </w:p>
    <w:p>
      <w:pPr>
        <w:pStyle w:val="ListNumber"/>
      </w:pPr>
      <w:r>
        <w:t>Wer ist Zahlstelle und wer führt das Darlehensgeberregister?</w:t>
      </w:r>
    </w:p>
    <w:p>
      <w:pPr>
        <w:pStyle w:val="ListNumber"/>
      </w:pPr>
      <w:r>
        <w:t>Gibt es bekannte Restricted Transferees oder Wettbewerber-/Sponsor-Ausschlüsse?</w:t>
      </w:r>
    </w:p>
    <w:p>
      <w:pPr>
        <w:pStyle w:val="ListNumber"/>
      </w:pPr>
      <w:r>
        <w:t>Welche Formerfordernisse gelten für Abtretung oder Vertragsübernahme?</w:t>
      </w:r>
    </w:p>
    <w:p>
      <w:pPr>
        <w:pStyle w:val="ListNumber"/>
      </w:pPr>
      <w:r>
        <w:t>Sind Sicherheiten, pari-passu-Erklärungen oder negative pledges mitbetroffen?</w:t>
      </w:r>
    </w:p>
    <w:p>
      <w:pPr>
        <w:pStyle w:val="Heading2"/>
      </w:pPr>
      <w:r>
        <w:rPr>
          <w:rFonts w:ascii="Times New Roman" w:hAnsi="Times New Roman"/>
        </w:rPr>
        <w:t>LMA-basierte Facility</w:t>
      </w:r>
    </w:p>
    <w:p>
      <w:pPr>
        <w:pStyle w:val="ListNumber"/>
      </w:pPr>
      <w:r>
        <w:t>Welche Fassung des hochgeladenen Vertrags ist executed?</w:t>
      </w:r>
    </w:p>
    <w:p>
      <w:pPr>
        <w:pStyle w:val="ListNumber"/>
      </w:pPr>
      <w:r>
        <w:t>Welche Transfermechanik ist für den geplanten Refinanzierungsschritt vorgesehen?</w:t>
      </w:r>
    </w:p>
    <w:p>
      <w:pPr>
        <w:pStyle w:val="ListNumber"/>
      </w:pPr>
      <w:r>
        <w:t>Wer muss einem Change of Control, Prepayment oder Transfer zustimmen?</w:t>
      </w:r>
    </w:p>
    <w:p>
      <w:pPr>
        <w:pStyle w:val="ListNumber"/>
      </w:pPr>
      <w:r>
        <w:t>Gibt es Hedging-Verträge, die parallel beendet oder noviert werden müssen?</w:t>
      </w:r>
    </w:p>
    <w:p>
      <w:pPr>
        <w:pStyle w:val="ListNumber"/>
      </w:pPr>
      <w:r>
        <w:t>Welche Security Releases sind am Closing zwingend?</w:t>
      </w:r>
    </w:p>
    <w:p>
      <w:pPr>
        <w:pStyle w:val="Heading2"/>
      </w:pPr>
      <w:r>
        <w:rPr>
          <w:rFonts w:ascii="Times New Roman" w:hAnsi="Times New Roman"/>
        </w:rPr>
        <w:t>NPL/Kundenfinanzierungen</w:t>
      </w:r>
    </w:p>
    <w:p>
      <w:pPr>
        <w:pStyle w:val="ListNumber"/>
      </w:pPr>
      <w:r>
        <w:t>Wer ist Kreditgeber/Gläubiger im Vertrag?</w:t>
      </w:r>
    </w:p>
    <w:p>
      <w:pPr>
        <w:pStyle w:val="ListNumber"/>
      </w:pPr>
      <w:r>
        <w:t>Gibt es Verbraucher oder ausschließlich Unternehmer?</w:t>
      </w:r>
    </w:p>
    <w:p>
      <w:pPr>
        <w:pStyle w:val="ListNumber"/>
      </w:pPr>
      <w:r>
        <w:t>Welche Sicherheiten bestehen an Maschinen, Forderungen oder Garantien?</w:t>
      </w:r>
    </w:p>
    <w:p>
      <w:pPr>
        <w:pStyle w:val="ListNumber"/>
      </w:pPr>
      <w:r>
        <w:t>Wer hat Schuldnerdaten verarbeitet und wie wurden Schuldner informiert?</w:t>
      </w:r>
    </w:p>
    <w:p>
      <w:pPr>
        <w:pStyle w:val="ListNumber"/>
      </w:pPr>
      <w:r>
        <w:t>Ist ein Kreditdienstleister eingesetzt oder erforderlich?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