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Transfer- und Closing-Checkliste</w:t>
      </w:r>
    </w:p>
    <w:p>
      <w:pPr>
        <w:pStyle w:val="Heading2"/>
      </w:pPr>
      <w:r>
        <w:rPr>
          <w:rFonts w:ascii="Times New Roman" w:hAnsi="Times New Roman"/>
        </w:rPr>
        <w:t>Schuldschein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Bedingungen vollständig im Datenraum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Auszug 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Register/Zahlstelle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Finance Team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Ansprechpartner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Consent/Notice-Matrix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Buyer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abhängig vom Dokument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Sicherheitenprüfung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Banking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pari-passu 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Datenschutz/Vertraulichkeit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Investor erhält Schuldnerdaten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LMA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Executed Version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Markup im Datenraum reicht nicht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Change-of-Control-Analyse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Buyer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CP für Signing?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Prepayment Notice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Borrower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Security Release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Security Agent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Notar-/Registerthemen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Hedge Termination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Treasury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Break Costs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NPL-Portfolio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Portfolio Tape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Target CFO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Vertragsarten fehlen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KrZwMG-Screening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Kreditkäufer/Kreditdienstleister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 Team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Schuldnerinformationen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Sicherheitenliste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Finance Legal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Maschinenstandorte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SPA-Behandlung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Corporate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Excluded Asset oder Working Capital?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