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NPL Portfolio Tape — Analysevermerk</w:t>
      </w:r>
    </w:p>
    <w:p>
      <w:pPr>
        <w:pStyle w:val="Heading2"/>
      </w:pPr>
      <w:r>
        <w:rPr>
          <w:rFonts w:ascii="Times New Roman" w:hAnsi="Times New Roman"/>
        </w:rPr>
        <w:t>Erste Sichtung</w:t>
      </w:r>
    </w:p>
    <w:p>
      <w:pPr>
        <w:jc w:val="left"/>
      </w:pPr>
      <w:r>
        <w:t>Das Portfolio Tape listet 180 Kundenfinanzierungen. Die Spalte 'Type' ist nur bei 61 Einträgen gefüllt. 42 Einträge heißen 'Installment', 12 'Loan', 7 'Lease-like'. Bei 119 Einträgen ist unklar, ob es sich um Ratenzahlung aus Kaufvertrag, Darlehen, Mietkauf oder Leasing handelt.</w:t>
      </w:r>
    </w:p>
    <w:p>
      <w:pPr>
        <w:pStyle w:val="Heading2"/>
      </w:pPr>
      <w:r>
        <w:rPr>
          <w:rFonts w:ascii="Times New Roman" w:hAnsi="Times New Roman"/>
        </w:rPr>
        <w:t>Auffälligkeiten</w:t>
      </w:r>
    </w:p>
    <w:p>
      <w:pPr>
        <w:pStyle w:val="ListBullet"/>
      </w:pPr>
      <w:r>
        <w:t>27 notleidende Forderungen, davon 9 mit Maschinen im Ausland.</w:t>
      </w:r>
    </w:p>
    <w:p>
      <w:pPr>
        <w:pStyle w:val="ListBullet"/>
      </w:pPr>
      <w:r>
        <w:t>4 Schuldner sind Einzelunternehmer; Verbraucherstatus nicht ausgeschlossen.</w:t>
      </w:r>
    </w:p>
    <w:p>
      <w:pPr>
        <w:pStyle w:val="ListBullet"/>
      </w:pPr>
      <w:r>
        <w:t>13 Verträge enthalten Eigentumsvorbehalt, aber keine klare Sicherheitenverwertung.</w:t>
      </w:r>
    </w:p>
    <w:p>
      <w:pPr>
        <w:pStyle w:val="ListBullet"/>
      </w:pPr>
      <w:r>
        <w:t>5 Schuldner haben Datenschutz-Auskunftsersuchen gestellt.</w:t>
      </w:r>
    </w:p>
    <w:p>
      <w:pPr>
        <w:pStyle w:val="ListBullet"/>
      </w:pPr>
      <w:r>
        <w:t>2 Forderungen wurden bereits an Inkassodienstleister übergeben.</w:t>
      </w:r>
    </w:p>
    <w:p>
      <w:pPr>
        <w:pStyle w:val="Heading2"/>
      </w:pPr>
      <w:r>
        <w:rPr>
          <w:rFonts w:ascii="Times New Roman" w:hAnsi="Times New Roman"/>
        </w:rPr>
        <w:t>Deal-Folge</w:t>
      </w:r>
    </w:p>
    <w:p>
      <w:pPr>
        <w:jc w:val="left"/>
      </w:pPr>
      <w:r>
        <w:t>Das Portfolio kann nicht einfach mit einem Satz 'wird vor Closing bereinigt' erledigt werden. Es braucht eine Strukturentscheidung:</w:t>
      </w:r>
    </w:p>
    <w:p>
      <w:pPr>
        <w:pStyle w:val="ListNumber"/>
      </w:pPr>
      <w:r>
        <w:t>Verbleib im Target mit Kaufpreisanpassung.</w:t>
      </w:r>
    </w:p>
    <w:p>
      <w:pPr>
        <w:pStyle w:val="ListNumber"/>
      </w:pPr>
      <w:r>
        <w:t>Carve-out an Verkäufer.</w:t>
      </w:r>
    </w:p>
    <w:p>
      <w:pPr>
        <w:pStyle w:val="ListNumber"/>
      </w:pPr>
      <w:r>
        <w:t>Verkauf an Kreditkäufer/Servicer.</w:t>
      </w:r>
    </w:p>
    <w:p>
      <w:pPr>
        <w:pStyle w:val="ListNumber"/>
      </w:pPr>
      <w:r>
        <w:t>Einzelwertberichtigung plus SPA-Indemnity.</w:t>
      </w:r>
    </w:p>
    <w:p>
      <w:pPr>
        <w:jc w:val="left"/>
      </w:pPr>
      <w:r>
        <w:t>Jede Variante hat andere Rechts-, Steuer-, Datenschutz- und Zeitfolgen.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