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Red-Flag-Report — Arbeitsfassung</w:t>
      </w:r>
    </w:p>
    <w:p>
      <w:pPr>
        <w:pStyle w:val="Heading2"/>
      </w:pPr>
      <w:r>
        <w:rPr>
          <w:rFonts w:ascii="Times New Roman" w:hAnsi="Times New Roman"/>
        </w:rPr>
        <w:t>Executive Summary</w:t>
      </w:r>
    </w:p>
    <w:p>
      <w:pPr>
        <w:jc w:val="left"/>
      </w:pPr>
      <w:r>
        <w:t>Der Deal ist machbar, aber nicht im reinen Corporate-Standardprozess. Die Finanzierungsthemen greifen in Closing, Kaufpreis, Datenschutz, Regulatory und Insolvenz-/Distressed-Risiken ein. Die Aussage des Verkäufers, Schuldschein, LMA-Facility und NPL-Portfolio seien 'Finanzierungsanhang', ist nicht haltbar.</w:t>
      </w:r>
    </w:p>
    <w:p>
      <w:pPr>
        <w:pStyle w:val="Heading2"/>
      </w:pPr>
      <w:r>
        <w:rPr>
          <w:rFonts w:ascii="Times New Roman" w:hAnsi="Times New Roman"/>
        </w:rPr>
        <w:t>Rote Punkte</w:t>
      </w:r>
    </w:p>
    <w:p>
      <w:pPr>
        <w:pStyle w:val="Heading3"/>
      </w:pPr>
      <w:r>
        <w:rPr>
          <w:rFonts w:ascii="Times New Roman" w:hAnsi="Times New Roman"/>
        </w:rPr>
        <w:t>1. Schuldschein</w:t>
      </w:r>
    </w:p>
    <w:p>
      <w:pPr>
        <w:jc w:val="left"/>
      </w:pPr>
      <w:r>
        <w:t>Übertragungsmechanik und Zustimmungserfordernisse sind unklar. Ohne vollständige Bedingungen kann nicht beurteilt werden, ob die angestrebte Refinanzierung und das Signing-to-Closing-Timing funktionieren.</w:t>
      </w:r>
    </w:p>
    <w:p>
      <w:pPr>
        <w:pStyle w:val="Heading3"/>
      </w:pPr>
      <w:r>
        <w:rPr>
          <w:rFonts w:ascii="Times New Roman" w:hAnsi="Times New Roman"/>
        </w:rPr>
        <w:t>2. LMA-Facility</w:t>
      </w:r>
    </w:p>
    <w:p>
      <w:pPr>
        <w:jc w:val="left"/>
      </w:pPr>
      <w:r>
        <w:t>Das Dokument ist hochgeladen, aber nicht als executed Version bestätigt. Change-of-Control, Prepayment, Hedge und Security Release können Closing blockieren.</w:t>
      </w:r>
    </w:p>
    <w:p>
      <w:pPr>
        <w:pStyle w:val="Heading3"/>
      </w:pPr>
      <w:r>
        <w:rPr>
          <w:rFonts w:ascii="Times New Roman" w:hAnsi="Times New Roman"/>
        </w:rPr>
        <w:t>3. NPL-Portfolio</w:t>
      </w:r>
    </w:p>
    <w:p>
      <w:pPr>
        <w:jc w:val="left"/>
      </w:pPr>
      <w:r>
        <w:t>Rechtsnatur der Kundenfinanzierungen ist uneinheitlich. KrZwMG-/DSGVO-/Sicherheitenfragen sind offen. Ein Verkauf vor Closing kann mehr Zeit brauchen als der gesamte Dealplan vorsieht.</w:t>
      </w:r>
    </w:p>
    <w:p>
      <w:pPr>
        <w:pStyle w:val="Heading3"/>
      </w:pPr>
      <w:r>
        <w:rPr>
          <w:rFonts w:ascii="Times New Roman" w:hAnsi="Times New Roman"/>
        </w:rPr>
        <w:t>4. Management Roll-over</w:t>
      </w:r>
    </w:p>
    <w:p>
      <w:pPr>
        <w:jc w:val="left"/>
      </w:pPr>
      <w:r>
        <w:t>Das Management ist kommerziell eingebunden, aber die Leaver- und Vesting-Regeln fehlen. Das ist für Incentivierung und Exit-Schutz zentral.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Binding Offer nur mit Finance/Regulatory-CPs und klarer SPA-Behandlung des NPL-Portfolios.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