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Produktbeschreibung E-Bike Wind-X7</w:t>
      </w:r>
    </w:p>
    <w:p>
      <w:pPr>
        <w:jc w:val="left"/>
      </w:pPr>
      <w:r>
        <w:rPr>
          <w:b/>
        </w:rPr>
        <w:t>Dokument-Typ:</w:t>
      </w:r>
      <w:r>
        <w:t xml:space="preserve"> Technische Produktbeschreibung (kanzleiinterne Arbeitsunterlage)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Erstellungsdatum:</w:t>
      </w:r>
      <w:r>
        <w:t xml:space="preserve"> 22. Januar 2026</w:t>
      </w:r>
    </w:p>
    <w:p/>
    <w:p>
      <w:pPr>
        <w:pStyle w:val="Heading2"/>
      </w:pPr>
      <w:r>
        <w:rPr>
          <w:rFonts w:ascii="Times New Roman" w:hAnsi="Times New Roman"/>
        </w:rPr>
        <w:t>1. Produktidentifikation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Frischwind Wind-X7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Pedelec (EPAC) nach EN 15194:2017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4 012 345 678 901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Modellnummer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FW-WX7-2023-EU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Erstinverkehrbringen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März 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Produktionsstandort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Erfurt (Rahmen/Montage); ShenZhen, China (Akku-Zellen)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Marktregionen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Deutschland, Österreich, Schweiz, Niederlande, Belgien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Umsatzvolumen (kumuliert bis Jan.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4.200 Einheiten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Technische Spezifikation</w:t>
      </w:r>
    </w:p>
    <w:p>
      <w:pPr>
        <w:pStyle w:val="Heading3"/>
      </w:pPr>
      <w:r>
        <w:rPr>
          <w:rFonts w:ascii="Times New Roman" w:hAnsi="Times New Roman"/>
        </w:rPr>
        <w:t>2.1 Rahmen und Antrieb</w:t>
      </w:r>
    </w:p>
    <w:p>
      <w:pPr>
        <w:pStyle w:val="ListBullet"/>
      </w:pPr>
      <w:r>
        <w:rPr>
          <w:b/>
        </w:rPr>
        <w:t>Rahmen:</w:t>
      </w:r>
      <w:r>
        <w:t xml:space="preserve"> Aluminium 6061-T6, Größen S / M / L / XL</w:t>
      </w:r>
    </w:p>
    <w:p>
      <w:pPr>
        <w:pStyle w:val="ListBullet"/>
      </w:pPr>
      <w:r>
        <w:rPr>
          <w:b/>
        </w:rPr>
        <w:t>Motor:</w:t>
      </w:r>
      <w:r>
        <w:t xml:space="preserve"> Brose Drive S (250 W Nennleistung, max. 25 km/h Unterstützung)</w:t>
      </w:r>
    </w:p>
    <w:p>
      <w:pPr>
        <w:pStyle w:val="ListBullet"/>
      </w:pPr>
      <w:r>
        <w:rPr>
          <w:b/>
        </w:rPr>
        <w:t>Gewicht:</w:t>
      </w:r>
      <w:r>
        <w:t xml:space="preserve"> 23,4 kg (Größe M, ohne Akku: 17,8 kg)</w:t>
      </w:r>
    </w:p>
    <w:p>
      <w:pPr>
        <w:pStyle w:val="ListBullet"/>
      </w:pPr>
      <w:r>
        <w:rPr>
          <w:b/>
        </w:rPr>
        <w:t>Zugelassene Traglast:</w:t>
      </w:r>
      <w:r>
        <w:t xml:space="preserve"> 120 kg (Fahrer + Gepäck)</w:t>
      </w:r>
    </w:p>
    <w:p>
      <w:pPr>
        <w:pStyle w:val="Heading3"/>
      </w:pPr>
      <w:r>
        <w:rPr>
          <w:rFonts w:ascii="Times New Roman" w:hAnsi="Times New Roman"/>
        </w:rPr>
        <w:t>2.2 Akku-System (kritisch)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Akkumodell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CT-LI-45-X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Hersteller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ChinaTech ShenZhen Co. Ltd.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Zellchemie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Lithium-Eisenphosphat (LiFePO4) — lt. Datenblatt; tatsächlich NMC (Li-NiMnCoO2) lt. Zellanalyse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Nennspannung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 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Kapazität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17,5 Ah (787,5 Wh)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Ladezeit (0–100 %)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5,5 Stunden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BMS-Firmware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Version 3.9.1 (fehlerbehaftet); aktuell in Entwicklung: V4.3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Schutzklasse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IP65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Betriebstemperatur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-10 °C bis +40 °C (lt. Datenblatt)</w:t>
            </w:r>
          </w:p>
        </w:tc>
      </w:tr>
    </w:tbl>
    <w:p>
      <w:pPr>
        <w:jc w:val="left"/>
      </w:pPr>
      <w:r>
        <w:rPr>
          <w:b/>
        </w:rPr>
        <w:t>Kritischer Befund:</w:t>
      </w:r>
      <w:r>
        <w:t xml:space="preserve"> Entgegen dem Datenblatt von ChinaTech sind die Zellen nicht LiFePO4 (Lithiumeisenphosphat, niedrigeres thermisches Risiko), sondern NMC (Nickel-Mangan-Kobalt-Oxid, höheres thermisches Risiko). Dieser Widerspruch wurde bei der Eingangsqualitätskontrolle Frischwind nicht festgestellt.</w:t>
      </w:r>
    </w:p>
    <w:p>
      <w:pPr>
        <w:pStyle w:val="Heading3"/>
      </w:pPr>
      <w:r>
        <w:rPr>
          <w:rFonts w:ascii="Times New Roman" w:hAnsi="Times New Roman"/>
        </w:rPr>
        <w:t>2.3 BMS (Battery Management System)</w:t>
      </w:r>
    </w:p>
    <w:p>
      <w:pPr>
        <w:jc w:val="left"/>
      </w:pPr>
      <w:r>
        <w:t>Das BMS CT-BMS-3.9 kontrolliert Lade-/Entladezyklen, Temperaturmanagement und Überladeschutz. In Firmware-Version 3.9.1 besteht ein kritischer Bug im Temperatur-Interrupts-Handler:</w:t>
      </w:r>
    </w:p>
    <w:p>
      <w:pPr>
        <w:jc w:val="left"/>
      </w:pPr>
      <w:r>
        <w:t>Bei Umgebungstemperaturen &gt; 38 °C und gleichzeitiger Schnellladung (&gt; 3 A) wird der Überladeschutz nicht korrekt aktiviert. Die Zellen werden bis zu 4,35 V/Zelle überladen (Sollwert: 4,20 V/Zelle), was bei NMC-Zellen zum thermischen Durchgehen führen kann (Exotherme Reaktion, selbstverstärkend).</w:t>
      </w:r>
    </w:p>
    <w:p/>
    <w:p>
      <w:pPr>
        <w:pStyle w:val="Heading2"/>
      </w:pPr>
      <w:r>
        <w:rPr>
          <w:rFonts w:ascii="Times New Roman" w:hAnsi="Times New Roman"/>
        </w:rPr>
        <w:t>3. CE-Kennzeichnung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CE-Richtlinien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2006/42/EG (Maschinenrichtlinie), 2014/30/EU (EMV), 2014/35/EU (Niederspannung)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Harmonisierte Norm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 15194:2017 (EPAC Pedelec)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Konformitätserklärung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Ausgestellt 10.02.2023, Frischwind Mobility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Benannte Stelle (Baumusterprüfung)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TÜV Rheinland, Köln, NB 0035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Baumusterprüfbescheinigung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TR-2022-LF-4412 (gültig bis 09.02.2028)</w:t>
            </w:r>
          </w:p>
        </w:tc>
      </w:tr>
    </w:tbl>
    <w:p>
      <w:pPr>
        <w:jc w:val="left"/>
      </w:pPr>
      <w:r>
        <w:rPr>
          <w:b/>
        </w:rPr>
        <w:t>Kritisch:</w:t>
      </w:r>
      <w:r>
        <w:t xml:space="preserve"> Die Baumusterprüfung erfolgte mit Prototyp-Akkus, die tatsächlich LiFePO4-Zellen enthielten. Die Serienproduktion mit NMC-Zellen wurde nicht nachgemeldet — mögliche Verletzung der Konformitätspflicht.</w:t>
      </w:r>
    </w:p>
    <w:p/>
    <w:p>
      <w:pPr>
        <w:pStyle w:val="Heading2"/>
      </w:pPr>
      <w:r>
        <w:rPr>
          <w:rFonts w:ascii="Times New Roman" w:hAnsi="Times New Roman"/>
        </w:rPr>
        <w:t>4. Lieferkette und Verträge</w:t>
      </w:r>
    </w:p>
    <w:p>
      <w:pPr>
        <w:pStyle w:val="ListBullet"/>
      </w:pPr>
      <w:r>
        <w:rPr>
          <w:b/>
        </w:rPr>
        <w:t>Rahmenliefervertrag ChinaTech ShenZhen Co. Ltd.:</w:t>
      </w:r>
      <w:r>
        <w:t xml:space="preserve"> Laufzeit 2022–2027; Garantie: 24 Monate; Haftungsbeschränkung auf Warenwert; keine Produkthaftungsfreistellung.</w:t>
      </w:r>
    </w:p>
    <w:p>
      <w:pPr>
        <w:pStyle w:val="ListBullet"/>
      </w:pPr>
      <w:r>
        <w:rPr>
          <w:b/>
        </w:rPr>
        <w:t>Montagepartner:</w:t>
      </w:r>
      <w:r>
        <w:t xml:space="preserve"> Eigenmontage Erfurt (Qualitätssicherungsprotokoll QS-FW-2022-003).</w:t>
      </w:r>
    </w:p>
    <w:p>
      <w:pPr>
        <w:pStyle w:val="ListBullet"/>
      </w:pPr>
      <w:r>
        <w:rPr>
          <w:b/>
        </w:rPr>
        <w:t>Logistik:</w:t>
      </w:r>
      <w:r>
        <w:t xml:space="preserve"> Direktlieferung ab Werk ChinaTech → Seefracht → Hamburg → Erfurt.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