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Störfallchronik: Akku-Brände 2025–2026</w:t>
      </w:r>
    </w:p>
    <w:p>
      <w:pPr>
        <w:jc w:val="left"/>
      </w:pPr>
      <w:r>
        <w:rPr>
          <w:b/>
        </w:rPr>
        <w:t>Dokument-Typ:</w:t>
      </w:r>
      <w:r>
        <w:t xml:space="preserve"> Chronik dokumentierter Vorfälle</w:t>
      </w:r>
    </w:p>
    <w:p>
      <w:pPr>
        <w:jc w:val="left"/>
      </w:pPr>
      <w:r>
        <w:rPr>
          <w:b/>
        </w:rPr>
        <w:t>AZ Kanzlei:</w:t>
      </w:r>
      <w:r>
        <w:t xml:space="preserve"> MR-2026-0822</w:t>
      </w:r>
    </w:p>
    <w:p>
      <w:pPr>
        <w:jc w:val="left"/>
      </w:pPr>
      <w:r>
        <w:rPr>
          <w:b/>
        </w:rPr>
        <w:t>Stand: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Überblick</w:t>
      </w:r>
    </w:p>
    <w:p>
      <w:pPr>
        <w:jc w:val="left"/>
      </w:pPr>
      <w:r>
        <w:t>Frischwind Mobility GmbH hat seit März 2025 drei dokumentierte Akku-Brand-Vorfälle mit Wind-X7-Pedelecs zu verzeichnen. Alle drei Vorfälle betreffen dasselbe Akkumodell CT-LI-45-X mit Firmware-Version 3.9.1 und ereigneten sich bei Umgebungstemperaturen von 36–42 °C (Hochsommer bzw. Kellerlagerbedingungen).</w:t>
      </w:r>
    </w:p>
    <w:p/>
    <w:p>
      <w:pPr>
        <w:pStyle w:val="Heading2"/>
      </w:pPr>
      <w:r>
        <w:rPr>
          <w:rFonts w:ascii="Times New Roman" w:hAnsi="Times New Roman"/>
        </w:rPr>
        <w:t>Chronologische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Ort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Seriennummer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Schaden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Personenschaden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Meldestatus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14.03.2025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Berlin-Köpenick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FW-WX7-2023-001847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Totalschaden Wohnung (380.000 EUR)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Bogdan Raskolnikow, 42 J., schwere Rauchgasvergiftung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Intern; RAPEX: 47 Tage verspätet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07.08.2025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Leipzig-Gohlis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FW-WX7-2023-003122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Totalschaden E-Bike; leichte Verbrennungen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Adelheid Flöttner, 61 J., leichte Verbrennungen Hand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Nicht gemeldet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02.01.2026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Stuttgart-Feuerbach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FW-WX7-2024-004891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E-Bike unbrauchbar; Kellerraum verrußt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Keine Personenschäden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Im Rahmen des Rückrufs dokumentiert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Gemeinsamkeiten der Vorfälle</w:t>
      </w:r>
    </w:p>
    <w:p>
      <w:pPr>
        <w:pStyle w:val="ListNumber"/>
      </w:pPr>
      <w:r>
        <w:rPr>
          <w:b/>
        </w:rPr>
        <w:t>Akkumodell:</w:t>
      </w:r>
      <w:r>
        <w:t xml:space="preserve"> Alle Akkus stammen von ChinaTech ShenZhen Co. Ltd. (CT-LI-45-X).</w:t>
      </w:r>
    </w:p>
    <w:p>
      <w:pPr>
        <w:pStyle w:val="ListNumber"/>
      </w:pPr>
      <w:r>
        <w:rPr>
          <w:b/>
        </w:rPr>
        <w:t>Firmware:</w:t>
      </w:r>
      <w:r>
        <w:t xml:space="preserve"> BMS-Version 3.9.1 in allen drei Geräten bestätigt.</w:t>
      </w:r>
    </w:p>
    <w:p>
      <w:pPr>
        <w:pStyle w:val="ListNumber"/>
      </w:pPr>
      <w:r>
        <w:rPr>
          <w:b/>
        </w:rPr>
        <w:t>Temperaturumgebung:</w:t>
      </w:r>
      <w:r>
        <w:t xml:space="preserve"> Vorfall 1: Wohnungsbrand bei 39 °C Außentemperatur (Wärmerekord Frühjahr 2025). Vorfall 2: Außentemperatur 41 °C (Hitzewelle Sommer 2025). Vorfall 3: Kellertemperatur 36 °C (Heizungsnähe).</w:t>
      </w:r>
    </w:p>
    <w:p>
      <w:pPr>
        <w:pStyle w:val="ListNumber"/>
      </w:pPr>
      <w:r>
        <w:rPr>
          <w:b/>
        </w:rPr>
        <w:t>Ladevorgang:</w:t>
      </w:r>
      <w:r>
        <w:t xml:space="preserve"> In allen drei Fällen wurde das E-Bike unmittelbar vor dem Brand aufgeladen (Schnellladung, &gt; 3 A).</w:t>
      </w:r>
    </w:p>
    <w:p/>
    <w:p>
      <w:pPr>
        <w:pStyle w:val="Heading2"/>
      </w:pPr>
      <w:r>
        <w:rPr>
          <w:rFonts w:ascii="Times New Roman" w:hAnsi="Times New Roman"/>
        </w:rPr>
        <w:t>Zeitstrahl</w:t>
      </w:r>
    </w:p>
    <w:p>
      <w:pPr>
        <w:jc w:val="left"/>
      </w:pPr>
      <w:r>
        <w:t>```</w:t>
      </w:r>
    </w:p>
    <w:p>
      <w:pPr>
        <w:jc w:val="left"/>
      </w:pPr>
      <w:r>
        <w:t>14.03.2025  — Vorfall 1 Berlin-Köpenick (Personenschaden)</w:t>
      </w:r>
    </w:p>
    <w:p>
      <w:pPr>
        <w:jc w:val="left"/>
      </w:pPr>
      <w:r>
        <w:t>Feuerwehr-Einsatz, Polizei ermittelt</w:t>
      </w:r>
    </w:p>
    <w:p>
      <w:pPr>
        <w:jc w:val="left"/>
      </w:pPr>
      <w:r>
        <w:t>April 2025  — Interne Qualitätsüberprüfung eingeleitet (Monat 1)</w:t>
      </w:r>
    </w:p>
    <w:p>
      <w:pPr>
        <w:jc w:val="left"/>
      </w:pPr>
      <w:r>
        <w:t>Kein Ergebnis, Vorfall als Einzelfall bewertet</w:t>
      </w:r>
    </w:p>
    <w:p>
      <w:pPr>
        <w:jc w:val="left"/>
      </w:pPr>
      <w:r>
        <w:t>07.08.2025  — Vorfall 2 Leipzig-Gohlis</w:t>
      </w:r>
    </w:p>
    <w:p>
      <w:pPr>
        <w:jc w:val="left"/>
      </w:pPr>
      <w:r>
        <w:t>Kein internes Eskalationsprotokoll ausgelöst</w:t>
      </w:r>
    </w:p>
    <w:p>
      <w:pPr>
        <w:jc w:val="left"/>
      </w:pPr>
      <w:r>
        <w:t>Oktober 2025 — Kundenreklamationen nehmen zu; QM-Abteilung</w:t>
      </w:r>
    </w:p>
    <w:p>
      <w:pPr>
        <w:jc w:val="left"/>
      </w:pPr>
      <w:r>
        <w:t>sammelt 14 Überhitzungsmeldungen ohne Brand</w:t>
      </w:r>
    </w:p>
    <w:p>
      <w:pPr>
        <w:jc w:val="left"/>
      </w:pPr>
      <w:r>
        <w:t>Dezember 2025 — QM-Sachverständiger identifiziert BMS-Firmware-Bug</w:t>
      </w:r>
    </w:p>
    <w:p>
      <w:pPr>
        <w:jc w:val="left"/>
      </w:pPr>
      <w:r>
        <w:t>Erstes internes Memo: "Kritischer Firmware-Defekt BMS V3.9.1"</w:t>
      </w:r>
    </w:p>
    <w:p>
      <w:pPr>
        <w:jc w:val="left"/>
      </w:pPr>
      <w:r>
        <w:t>02.01.2026  — Vorfall 3 Stuttgart-Feuerbach</w:t>
      </w:r>
    </w:p>
    <w:p>
      <w:pPr>
        <w:jc w:val="left"/>
      </w:pPr>
      <w:r>
        <w:t>15.01.2026  — StA Erfurt eröffnet Ermittlungsverfahren 188 Js 4711/26</w:t>
      </w:r>
    </w:p>
    <w:p>
      <w:pPr>
        <w:jc w:val="left"/>
      </w:pPr>
      <w:r>
        <w:t>(Anzeige durch Raskolnikow-Anwalt)</w:t>
      </w:r>
    </w:p>
    <w:p>
      <w:pPr>
        <w:jc w:val="left"/>
      </w:pPr>
      <w:r>
        <w:t>17.01.2026  — BNetzA MFS leitet Anhörungsverfahren ein (MFS-2026-RAPEX-1188)</w:t>
      </w:r>
    </w:p>
    <w:p>
      <w:pPr>
        <w:jc w:val="left"/>
      </w:pPr>
      <w:r>
        <w:t>21.01.2026  — Mandatsübernahme Roosendaal Rechtsanwälte Stuttgart</w:t>
      </w:r>
    </w:p>
    <w:p>
      <w:pPr>
        <w:jc w:val="left"/>
      </w:pPr>
      <w:r>
        <w:t>28.01.2026  — Rückrufbeschluss durch Krisenstab Frischwind</w:t>
      </w:r>
    </w:p>
    <w:p>
      <w:pPr>
        <w:jc w:val="left"/>
      </w:pPr>
      <w:r>
        <w:t>05.02.2026  — Händleranschreiben Rückruf versandt (alle 48 Vertragshändler DE/AT/CH)</w:t>
      </w:r>
    </w:p>
    <w:p>
      <w:pPr>
        <w:jc w:val="left"/>
      </w:pPr>
      <w:r>
        <w:t>15.02.2026  — Verspätete RAPEX-Meldung nachgereicht an BNetzA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Rechtliche Einordnung RAPEX-Versäumnis</w:t>
      </w:r>
    </w:p>
    <w:p>
      <w:pPr>
        <w:jc w:val="left"/>
      </w:pPr>
      <w:r>
        <w:t>Nach § 3 Abs. 3 ProdSG (i.d.F. 2021) haben Hersteller, die Kenntnis von einem gefährlichen Produkt erlangen, unverzüglich — d.h. ohne schuldhaftes Zögern — die zuständige Marktüberwachungsbehörde zu informieren und die erforderlichen Korrekturmaßnahmen zu ergreifen. Art. 20 Abs. 2 der Marktüberwachungs-VO (EU) 2019/1020 konkretisiert dies auf „sofortige" Information.</w:t>
      </w:r>
    </w:p>
    <w:p>
      <w:pPr>
        <w:jc w:val="left"/>
      </w:pPr>
      <w:r>
        <w:t>Frischwind hatte spätestens nach Dezember 2025 sichere Kenntnis vom Firmware-Bug. Die RAPEX-Meldung erfolgte erst am 15.02.2026 — rund 47 Tage nach Kenntnis. Diese Verzögerung stellt einen Verstoß gegen § 3 ProdSG dar und ist bußgeldbewehrt (§ 39 ProdSG: bis zu 100.000 EUR je Verstoß). Sie ist darüber hinaus wesentlich für die Deckungsfrage bei der Allianz-Produkthaftpflicht.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