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Vorfall 2: Leipzig-Gohlis, Akku-Explosion während Fahrt, 07.08.2025</w:t>
      </w:r>
    </w:p>
    <w:p>
      <w:pPr>
        <w:jc w:val="left"/>
      </w:pPr>
      <w:r>
        <w:rPr>
          <w:b/>
        </w:rPr>
        <w:t>Dokument-Typ:</w:t>
      </w:r>
      <w:r>
        <w:t xml:space="preserve"> Vorfallbericht mit rechtlicher Analyse</w:t>
      </w:r>
    </w:p>
    <w:p>
      <w:pPr>
        <w:jc w:val="left"/>
      </w:pPr>
      <w:r>
        <w:rPr>
          <w:b/>
        </w:rPr>
        <w:t>AZ Kanzlei:</w:t>
      </w:r>
      <w:r>
        <w:t xml:space="preserve"> MR-2026-0822</w:t>
      </w:r>
    </w:p>
    <w:p/>
    <w:p>
      <w:pPr>
        <w:pStyle w:val="Heading2"/>
      </w:pPr>
      <w:r>
        <w:rPr>
          <w:rFonts w:ascii="Times New Roman" w:hAnsi="Times New Roman"/>
        </w:rPr>
        <w:t>1. Sachverhalt</w:t>
      </w:r>
    </w:p>
    <w:p>
      <w:pPr>
        <w:jc w:val="left"/>
      </w:pPr>
      <w:r>
        <w:t>Am 7. August 2025 gegen 14:20 Uhr befuhr Adelheid Flöttner (61 Jahre) die Georg-Schumann-Str. in Leipzig-Gohlis mit ihrem Wind-X7-Pedelec (Seriennummer FW-WX7-2023-003122). Die Außentemperatur betrug 41 °C. Frau Flöttner hatte das Fahrzeug ca. 45 Minuten zuvor vollständig aufgeladen.</w:t>
      </w:r>
    </w:p>
    <w:p>
      <w:pPr>
        <w:jc w:val="left"/>
      </w:pPr>
      <w:r>
        <w:t>Plötzlich hörte sie ein Knackgeräusch aus dem Akkubereich. Der Akku begann zu rauchen, dann entstand eine Stichflamme am hinteren Rahmenbereich. Frau Flöttner sprang sofort vom Rad, erlitt jedoch leichte Verbrennungen an der linken Hand (Verbrennungsgrad I–II, ärztlich versorgt). Das E-Bike war nicht mehr nutzbar. Passanten halfen beim Ablöschen. Die Feuerwehr war nicht erforderlich.</w:t>
      </w:r>
    </w:p>
    <w:p/>
    <w:p>
      <w:pPr>
        <w:pStyle w:val="Heading2"/>
      </w:pPr>
      <w:r>
        <w:rPr>
          <w:rFonts w:ascii="Times New Roman" w:hAnsi="Times New Roman"/>
        </w:rPr>
        <w:t>2. Dokumentation und Ermittlungen</w:t>
      </w:r>
    </w:p>
    <w:p>
      <w:pPr>
        <w:pStyle w:val="ListBullet"/>
      </w:pPr>
      <w:r>
        <w:t>Polizeiliche Aufnahme: LPD Leipzig, AZ 150602-2025-1234 (nur Verkehrsunfall-Meldung, kein Strafverfahren eröffnet).</w:t>
      </w:r>
    </w:p>
    <w:p>
      <w:pPr>
        <w:pStyle w:val="ListBullet"/>
      </w:pPr>
      <w:r>
        <w:t>Frau Flöttner erstattete am 09.08.2025 beim Händler VeloProfi Leipzig eine Reklamation; dieser leitete den Vorfall an Frischwind weiter.</w:t>
      </w:r>
    </w:p>
    <w:p>
      <w:pPr>
        <w:pStyle w:val="ListBullet"/>
      </w:pPr>
      <w:r>
        <w:t xml:space="preserve">Frischwind Qualitätsmanagement: Vorfall wurde intern als Einzelfall mit „möglichem Nutzungsfehler" klassifiziert — </w:t>
      </w:r>
      <w:r>
        <w:rPr>
          <w:b/>
        </w:rPr>
        <w:t>dies ist eine fehlerhafte Bewertung</w:t>
      </w:r>
      <w:r>
        <w:t xml:space="preserve"> und wird von RA Roosendaal als gravierendes internes Compliance-Versagen gewertet.</w:t>
      </w:r>
    </w:p>
    <w:p>
      <w:pPr>
        <w:pStyle w:val="ListBullet"/>
      </w:pPr>
      <w:r>
        <w:t>RAPEX-Meldung: Unterblieben — zweite Pflichtverletzung.</w:t>
      </w:r>
    </w:p>
    <w:p/>
    <w:p>
      <w:pPr>
        <w:pStyle w:val="Heading2"/>
      </w:pPr>
      <w:r>
        <w:rPr>
          <w:rFonts w:ascii="Times New Roman" w:hAnsi="Times New Roman"/>
        </w:rPr>
        <w:t>3. Seriennummer und technische Analyse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Wert</w:t>
            </w:r>
          </w:p>
        </w:tc>
      </w:tr>
      <w:tr>
        <w:tc>
          <w:tcPr>
            <w:tcW w:type="dxa" w:w="4536"/>
          </w:tcPr>
          <w:p>
            <w:r>
              <w:rPr>
                <w:rFonts w:ascii="Times New Roman" w:hAnsi="Times New Roman"/>
                <w:sz w:val="20"/>
              </w:rPr>
              <w:t>Seriennummer</w:t>
            </w:r>
          </w:p>
        </w:tc>
        <w:tc>
          <w:tcPr>
            <w:tcW w:type="dxa" w:w="4536"/>
          </w:tcPr>
          <w:p>
            <w:r>
              <w:rPr>
                <w:rFonts w:ascii="Times New Roman" w:hAnsi="Times New Roman"/>
                <w:sz w:val="20"/>
              </w:rPr>
              <w:t>FW-WX7-2023-003122</w:t>
            </w:r>
          </w:p>
        </w:tc>
      </w:tr>
      <w:tr>
        <w:tc>
          <w:tcPr>
            <w:tcW w:type="dxa" w:w="4536"/>
          </w:tcPr>
          <w:p>
            <w:r>
              <w:rPr>
                <w:rFonts w:ascii="Times New Roman" w:hAnsi="Times New Roman"/>
                <w:sz w:val="20"/>
              </w:rPr>
              <w:t>Produktionsdatum</w:t>
            </w:r>
          </w:p>
        </w:tc>
        <w:tc>
          <w:tcPr>
            <w:tcW w:type="dxa" w:w="4536"/>
          </w:tcPr>
          <w:p>
            <w:r>
              <w:rPr>
                <w:rFonts w:ascii="Times New Roman" w:hAnsi="Times New Roman"/>
                <w:sz w:val="20"/>
              </w:rPr>
              <w:t>14. Januar 2024</w:t>
            </w:r>
          </w:p>
        </w:tc>
      </w:tr>
      <w:tr>
        <w:tc>
          <w:tcPr>
            <w:tcW w:type="dxa" w:w="4536"/>
          </w:tcPr>
          <w:p>
            <w:r>
              <w:rPr>
                <w:rFonts w:ascii="Times New Roman" w:hAnsi="Times New Roman"/>
                <w:sz w:val="20"/>
              </w:rPr>
              <w:t>Akkucharge</w:t>
            </w:r>
          </w:p>
        </w:tc>
        <w:tc>
          <w:tcPr>
            <w:tcW w:type="dxa" w:w="4536"/>
          </w:tcPr>
          <w:p>
            <w:r>
              <w:rPr>
                <w:rFonts w:ascii="Times New Roman" w:hAnsi="Times New Roman"/>
                <w:sz w:val="20"/>
              </w:rPr>
              <w:t>CT-LI-45-X, Charge 2024-CH-088</w:t>
            </w:r>
          </w:p>
        </w:tc>
      </w:tr>
      <w:tr>
        <w:tc>
          <w:tcPr>
            <w:tcW w:type="dxa" w:w="4536"/>
          </w:tcPr>
          <w:p>
            <w:r>
              <w:rPr>
                <w:rFonts w:ascii="Times New Roman" w:hAnsi="Times New Roman"/>
                <w:sz w:val="20"/>
              </w:rPr>
              <w:t>BMS-Firmware</w:t>
            </w:r>
          </w:p>
        </w:tc>
        <w:tc>
          <w:tcPr>
            <w:tcW w:type="dxa" w:w="4536"/>
          </w:tcPr>
          <w:p>
            <w:r>
              <w:rPr>
                <w:rFonts w:ascii="Times New Roman" w:hAnsi="Times New Roman"/>
                <w:sz w:val="20"/>
              </w:rPr>
              <w:t>V3.9.1</w:t>
            </w:r>
          </w:p>
        </w:tc>
      </w:tr>
      <w:tr>
        <w:tc>
          <w:tcPr>
            <w:tcW w:type="dxa" w:w="4536"/>
          </w:tcPr>
          <w:p>
            <w:r>
              <w:rPr>
                <w:rFonts w:ascii="Times New Roman" w:hAnsi="Times New Roman"/>
                <w:sz w:val="20"/>
              </w:rPr>
              <w:t>Kaufdatum</w:t>
            </w:r>
          </w:p>
        </w:tc>
        <w:tc>
          <w:tcPr>
            <w:tcW w:type="dxa" w:w="4536"/>
          </w:tcPr>
          <w:p>
            <w:r>
              <w:rPr>
                <w:rFonts w:ascii="Times New Roman" w:hAnsi="Times New Roman"/>
                <w:sz w:val="20"/>
              </w:rPr>
              <w:t>03. März 2024, VeloProfi Leipzig</w:t>
            </w:r>
          </w:p>
        </w:tc>
      </w:tr>
      <w:tr>
        <w:tc>
          <w:tcPr>
            <w:tcW w:type="dxa" w:w="4536"/>
          </w:tcPr>
          <w:p>
            <w:r>
              <w:rPr>
                <w:rFonts w:ascii="Times New Roman" w:hAnsi="Times New Roman"/>
                <w:sz w:val="20"/>
              </w:rPr>
              <w:t>Rücklaufanalyse</w:t>
            </w:r>
          </w:p>
        </w:tc>
        <w:tc>
          <w:tcPr>
            <w:tcW w:type="dxa" w:w="4536"/>
          </w:tcPr>
          <w:p>
            <w:r>
              <w:rPr>
                <w:rFonts w:ascii="Times New Roman" w:hAnsi="Times New Roman"/>
                <w:sz w:val="20"/>
              </w:rPr>
              <w:t>Akku nach Brand eingeschickt; Thermisches-Durchgehen-Muster in 3 Zellen identifiziert</w:t>
            </w:r>
          </w:p>
        </w:tc>
      </w:tr>
    </w:tbl>
    <w:p/>
    <w:p>
      <w:pPr>
        <w:pStyle w:val="Heading2"/>
      </w:pPr>
      <w:r>
        <w:rPr>
          <w:rFonts w:ascii="Times New Roman" w:hAnsi="Times New Roman"/>
        </w:rPr>
        <w:t>4. Forderungen Flöttner</w:t>
      </w:r>
    </w:p>
    <w:p>
      <w:pPr>
        <w:jc w:val="left"/>
      </w:pPr>
      <w:r>
        <w:t>Frau Flöttner macht derzeit keine formellen Ansprüche geltend, hat aber über ihren Händler einen vollwertigen Ersatz gefordert. Wegen der Einbindung in den Gesamtrückruf wird ihr Schaden im Rahmen des Rückrufprogramms reguliert. Schadensersatz für die Arztkosten (ca. 340 EUR) noch offen.</w:t>
      </w:r>
    </w:p>
    <w:p/>
    <w:p>
      <w:pPr>
        <w:pStyle w:val="Heading2"/>
      </w:pPr>
      <w:r>
        <w:rPr>
          <w:rFonts w:ascii="Times New Roman" w:hAnsi="Times New Roman"/>
        </w:rPr>
        <w:t>5. Relevanz für Gesamtverfahren</w:t>
      </w:r>
    </w:p>
    <w:p>
      <w:pPr>
        <w:jc w:val="left"/>
      </w:pPr>
      <w:r>
        <w:t>Dieser Vorfall ist für das Gesamtverfahren bedeutsam, weil er chronologisch zwischen Vorfall 1 (Köpenick) und Vorfall 3 (Stuttgart) liegt und belegt, dass Frischwind trotz Kenntnis des ersten Vorfalls keine adäquaten Sofortmaßnahmen ergriffen hat. Dies begründet möglicherweise ein erhöhtes Organisationsverschulden im Rahmen einer BGH-Produkthaftungsbetrachtung (vgl. BGH VI ZR 158/93: Produzentenhaftung bei unterlassener Rückrufpflicht) und stärkt die Position der Staatsanwaltschaft im Strafverfahren gegen Dr. Pohlmann-Wittfeldt.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