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Vorfall 3: Stuttgart-Feuerbach, Rauchentwicklung im Keller, 02.01.2026</w:t>
      </w:r>
    </w:p>
    <w:p>
      <w:pPr>
        <w:jc w:val="left"/>
      </w:pPr>
      <w:r>
        <w:rPr>
          <w:b/>
        </w:rPr>
        <w:t>Dokument-Typ:</w:t>
      </w:r>
      <w:r>
        <w:t xml:space="preserve"> Vorfallbericht</w:t>
      </w:r>
    </w:p>
    <w:p>
      <w:pPr>
        <w:jc w:val="left"/>
      </w:pPr>
      <w:r>
        <w:rPr>
          <w:b/>
        </w:rPr>
        <w:t>AZ Kanzlei:</w:t>
      </w:r>
      <w:r>
        <w:t xml:space="preserve"> MR-2026-0822</w:t>
      </w:r>
    </w:p>
    <w:p/>
    <w:p>
      <w:pPr>
        <w:pStyle w:val="Heading2"/>
      </w:pPr>
      <w:r>
        <w:rPr>
          <w:rFonts w:ascii="Times New Roman" w:hAnsi="Times New Roman"/>
        </w:rPr>
        <w:t>1. Sachverhalt</w:t>
      </w:r>
    </w:p>
    <w:p>
      <w:pPr>
        <w:jc w:val="left"/>
      </w:pPr>
      <w:r>
        <w:t>Am 2. Januar 2026 gegen 08:45 Uhr bemerkte der Hauseigentümer Wolfgang Siegroth im Keller seines Mehrfamilienhauses, Stuttgarter Str. 55, 70469 Stuttgart-Feuerbach, Rauchentwicklung und verbrannten Kunststoffgeruch. Im Kellerraum lagerte ein Wind-X7 Pedelec (Seriennummer FW-WX7-2024-004891), das an einem Kellerladegerät angeschlossen war. Die Heizungsanlage im Keller sorgte für eine erhöhte Umgebungstemperatur von ca. 36 °C.</w:t>
      </w:r>
    </w:p>
    <w:p>
      <w:pPr>
        <w:jc w:val="left"/>
      </w:pPr>
      <w:r>
        <w:t>Herr Siegroth zog sofort den Stecker, trug das E-Bike nach draußen und verständigte die Feuerwehr Stuttgart (Feuerwehr Stuttgart, Einsatzbericht FS-2026-FEB-0012). Der Brand wurde durch Herrn Siegroth selbst verhindert; es gab keine Personenschäden. Das E-Bike war nicht mehr nutzbar; der Keller wies starke Verrußung auf.</w:t>
      </w:r>
    </w:p>
    <w:p/>
    <w:p>
      <w:pPr>
        <w:pStyle w:val="Heading2"/>
      </w:pPr>
      <w:r>
        <w:rPr>
          <w:rFonts w:ascii="Times New Roman" w:hAnsi="Times New Roman"/>
        </w:rPr>
        <w:t>2. Seriennummer und Rückverfolgung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Seriennummer</w:t>
            </w:r>
          </w:p>
        </w:tc>
        <w:tc>
          <w:tcPr>
            <w:tcW w:type="dxa" w:w="4536"/>
          </w:tcPr>
          <w:p>
            <w:r>
              <w:rPr>
                <w:rFonts w:ascii="Times New Roman" w:hAnsi="Times New Roman"/>
                <w:sz w:val="20"/>
              </w:rPr>
              <w:t>FW-WX7-2024-004891</w:t>
            </w:r>
          </w:p>
        </w:tc>
      </w:tr>
      <w:tr>
        <w:tc>
          <w:tcPr>
            <w:tcW w:type="dxa" w:w="4536"/>
          </w:tcPr>
          <w:p>
            <w:r>
              <w:rPr>
                <w:rFonts w:ascii="Times New Roman" w:hAnsi="Times New Roman"/>
                <w:sz w:val="20"/>
              </w:rPr>
              <w:t>Produktionsdatum</w:t>
            </w:r>
          </w:p>
        </w:tc>
        <w:tc>
          <w:tcPr>
            <w:tcW w:type="dxa" w:w="4536"/>
          </w:tcPr>
          <w:p>
            <w:r>
              <w:rPr>
                <w:rFonts w:ascii="Times New Roman" w:hAnsi="Times New Roman"/>
                <w:sz w:val="20"/>
              </w:rPr>
              <w:t>22. März 2024</w:t>
            </w:r>
          </w:p>
        </w:tc>
      </w:tr>
      <w:tr>
        <w:tc>
          <w:tcPr>
            <w:tcW w:type="dxa" w:w="4536"/>
          </w:tcPr>
          <w:p>
            <w:r>
              <w:rPr>
                <w:rFonts w:ascii="Times New Roman" w:hAnsi="Times New Roman"/>
                <w:sz w:val="20"/>
              </w:rPr>
              <w:t>Akkucharge</w:t>
            </w:r>
          </w:p>
        </w:tc>
        <w:tc>
          <w:tcPr>
            <w:tcW w:type="dxa" w:w="4536"/>
          </w:tcPr>
          <w:p>
            <w:r>
              <w:rPr>
                <w:rFonts w:ascii="Times New Roman" w:hAnsi="Times New Roman"/>
                <w:sz w:val="20"/>
              </w:rPr>
              <w:t>CT-LI-45-X, Charge 2024-CH-251</w:t>
            </w:r>
          </w:p>
        </w:tc>
      </w:tr>
      <w:tr>
        <w:tc>
          <w:tcPr>
            <w:tcW w:type="dxa" w:w="4536"/>
          </w:tcPr>
          <w:p>
            <w:r>
              <w:rPr>
                <w:rFonts w:ascii="Times New Roman" w:hAnsi="Times New Roman"/>
                <w:sz w:val="20"/>
              </w:rPr>
              <w:t>BMS-Firmware</w:t>
            </w:r>
          </w:p>
        </w:tc>
        <w:tc>
          <w:tcPr>
            <w:tcW w:type="dxa" w:w="4536"/>
          </w:tcPr>
          <w:p>
            <w:r>
              <w:rPr>
                <w:rFonts w:ascii="Times New Roman" w:hAnsi="Times New Roman"/>
                <w:sz w:val="20"/>
              </w:rPr>
              <w:t>V3.9.1</w:t>
            </w:r>
          </w:p>
        </w:tc>
      </w:tr>
      <w:tr>
        <w:tc>
          <w:tcPr>
            <w:tcW w:type="dxa" w:w="4536"/>
          </w:tcPr>
          <w:p>
            <w:r>
              <w:rPr>
                <w:rFonts w:ascii="Times New Roman" w:hAnsi="Times New Roman"/>
                <w:sz w:val="20"/>
              </w:rPr>
              <w:t>Kaufdatum</w:t>
            </w:r>
          </w:p>
        </w:tc>
        <w:tc>
          <w:tcPr>
            <w:tcW w:type="dxa" w:w="4536"/>
          </w:tcPr>
          <w:p>
            <w:r>
              <w:rPr>
                <w:rFonts w:ascii="Times New Roman" w:hAnsi="Times New Roman"/>
                <w:sz w:val="20"/>
              </w:rPr>
              <w:t>10. April 2024, Radland Stuttgart, Feuerbach</w:t>
            </w:r>
          </w:p>
        </w:tc>
      </w:tr>
    </w:tbl>
    <w:p/>
    <w:p>
      <w:pPr>
        <w:pStyle w:val="Heading2"/>
      </w:pPr>
      <w:r>
        <w:rPr>
          <w:rFonts w:ascii="Times New Roman" w:hAnsi="Times New Roman"/>
        </w:rPr>
        <w:t>3. Bedeutung für das Verfahren</w:t>
      </w:r>
    </w:p>
    <w:p>
      <w:pPr>
        <w:jc w:val="left"/>
      </w:pPr>
      <w:r>
        <w:t>Vorfall 3 ist insofern bemerkenswert, als er sich erst in diesem Jahr ereignete — zu einem Zeitpunkt, an dem die interne Qualitätsabteilung Frischwind bereits den BMS-Bug kannte (Dezember 2025). Gleichwohl war kein Rückruf eingeleitet und keine öffentliche Warnung ausgesprochen worden. Herr Siegroth hat Frischwind mit Schreiben vom 15. Januar 2026 aufgefordert, das Fahrzeug zu ersetzen und den Kellerschaden (ca. 8.200 EUR) zu erstatten. Diese Forderung wird im Rahmen des Rückrufprogramms reguliert.</w:t>
      </w:r>
    </w:p>
    <w:p>
      <w:pPr>
        <w:jc w:val="left"/>
      </w:pPr>
      <w:r>
        <w:t>Dieser Vorfall belegt eindeutig, dass Frischwind trotz Kenntnis des Defekts weitere Vorfälle in Kauf genommen hat — ein Gesichtspunkt, der im Rahmen des Strafverfahrens gegen Dr. Pohlmann-Wittfeldt erheblich ist und die Argumentation zur fahrlässigen Körperverletzung (§ 229 StGB) stützt: Die Sorgfaltspflichtverletzung dauerte fort, obwohl das Risiko bekannt war.</w:t>
      </w:r>
    </w:p>
    <w:p>
      <w:pPr>
        <w:jc w:val="left"/>
      </w:pPr>
      <w:r>
        <w:t>Zulieferer ChinaTech ShenZhen hat auf Anfrage Frischwinds vom 05.01.2026 mit Schreiben vom 09.01.2026 jede Haftung zurückgewiesen und auf „sachgemäßen Gebrauch und korrekte Montage" verwiesen.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