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CE-Konformitätsbewertung und Prüfung Wind-X7</w:t>
      </w:r>
    </w:p>
    <w:p>
      <w:pPr>
        <w:jc w:val="left"/>
      </w:pPr>
      <w:r>
        <w:rPr>
          <w:b/>
        </w:rPr>
        <w:t>Dokument-Typ:</w:t>
      </w:r>
      <w:r>
        <w:t xml:space="preserve"> Rechtliche Analyse CE-Konformitätsbewertungsverfahren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Bezug:</w:t>
      </w:r>
      <w:r>
        <w:t xml:space="preserve"> Maschinenrichtlinie 2006/42/EG, EN 15194:2017, Marktüberwachungs-VO (EU) 2019/1020</w:t>
      </w:r>
    </w:p>
    <w:p/>
    <w:p>
      <w:pPr>
        <w:pStyle w:val="Heading2"/>
      </w:pPr>
      <w:r>
        <w:rPr>
          <w:rFonts w:ascii="Times New Roman" w:hAnsi="Times New Roman"/>
        </w:rPr>
        <w:t>1. Konformitätsbewertungsverfahren im Überblick</w:t>
      </w:r>
    </w:p>
    <w:p>
      <w:pPr>
        <w:jc w:val="left"/>
      </w:pPr>
      <w:r>
        <w:t>Pedelecs (EPAC) bis 250 W Nennleistung und 25 km/h Unterstützungsgeschwindigkeit gelten als Fahrräder im Sinne der EU-Produktsicherheitsgesetzgebung, nicht als Kraftfahrzeuge. Gleichwohl unterliegen sie mehreren EU-Richtlinien: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Richtlinie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Anwendungsbereich Wind-X7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Maschinenrichtlinie 2006/42/EG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Elektrisches Antriebssystem, Sicherheitsbauteile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EMV-Richtlinie 2014/30/EU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Elektrische/elektronische Komponenten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Niederspannungsrichtlinie 2014/35/EU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Akku-System (45 V DC)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Ökodesign-VO 2019/1781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Ladegerät-Energieeffizienz</w:t>
            </w:r>
          </w:p>
        </w:tc>
      </w:tr>
    </w:tbl>
    <w:p>
      <w:pPr>
        <w:jc w:val="left"/>
      </w:pPr>
      <w:r>
        <w:t xml:space="preserve">Die harmonisierte Norm </w:t>
      </w:r>
      <w:r>
        <w:rPr>
          <w:b/>
        </w:rPr>
        <w:t>EN 15194:2017</w:t>
      </w:r>
      <w:r>
        <w:t xml:space="preserve"> (Cycles — Electrically power assisted cycles — EPAC Bicycles) enthält spezifische Anforderungen an EPAC und gilt als Spezialregel gegenüber der Maschinenrichtlinie.</w:t>
      </w:r>
    </w:p>
    <w:p/>
    <w:p>
      <w:pPr>
        <w:pStyle w:val="Heading2"/>
      </w:pPr>
      <w:r>
        <w:rPr>
          <w:rFonts w:ascii="Times New Roman" w:hAnsi="Times New Roman"/>
        </w:rPr>
        <w:t>2. Baumusterprüfung — TÜV Rheinland</w:t>
      </w:r>
    </w:p>
    <w:p>
      <w:pPr>
        <w:jc w:val="left"/>
      </w:pPr>
      <w:r>
        <w:t>Die Baumusterprüfung des Wind-X7 wurde vom TÜV Rheinland (NB 0035) im Februar 2023 durchgeführt. Baumusterprüfbescheinigung: TR-2022-LF-4412 vom 09.02.2023.</w:t>
      </w:r>
    </w:p>
    <w:p>
      <w:pPr>
        <w:jc w:val="left"/>
      </w:pPr>
      <w:r>
        <w:rPr>
          <w:b/>
        </w:rPr>
        <w:t>Kritischer Punkt:</w:t>
      </w:r>
      <w:r>
        <w:t xml:space="preserve"> Der zur Prüfung eingereichte Prototyp enthielt Akkus der Charge 2022-Prototype-CH-001 mit LiFePO4-Zellen. In der späteren Serienproduktion (ab März 2023) wurden — ohne Rücksprache mit dem TÜV — NMC-Zellen (Nickel-Mangan-Kobalt) verbaut, die ein anderes thermisches Sicherheitsprofil aufweisen. Diese wesentliche Änderung hätte nach Art. 12 Abs. 3 Maschinenrichtlinie 2006/42/EG eine erneute Konformitätsbewertung erfordert.</w:t>
      </w:r>
    </w:p>
    <w:p>
      <w:pPr>
        <w:jc w:val="left"/>
      </w:pPr>
      <w:r>
        <w:rPr>
          <w:b/>
        </w:rPr>
        <w:t>Rechtsfolge:</w:t>
      </w:r>
      <w:r>
        <w:t xml:space="preserve"> Die CE-Kennzeichnung des in Serie produzierten Wind-X7 mit NMC-Zellen ist möglicherweise nicht rechtskonform. Dies könnte:</w:t>
      </w:r>
    </w:p>
    <w:p>
      <w:pPr>
        <w:pStyle w:val="ListBullet"/>
      </w:pPr>
      <w:r>
        <w:t>Die CE-Konformitätserklärung für die Serienproduktion unwirksam machen.</w:t>
      </w:r>
    </w:p>
    <w:p>
      <w:pPr>
        <w:pStyle w:val="ListBullet"/>
      </w:pPr>
      <w:r>
        <w:t>Eine Ordnungswidrigkeit nach § 38 ProdSG begründen.</w:t>
      </w:r>
    </w:p>
    <w:p>
      <w:pPr>
        <w:pStyle w:val="ListBullet"/>
      </w:pPr>
      <w:r>
        <w:t>Im Zivilprozess die Produktfehler-Vermutung erhärten.</w:t>
      </w:r>
    </w:p>
    <w:p/>
    <w:p>
      <w:pPr>
        <w:pStyle w:val="Heading2"/>
      </w:pPr>
      <w:r>
        <w:rPr>
          <w:rFonts w:ascii="Times New Roman" w:hAnsi="Times New Roman"/>
        </w:rPr>
        <w:t>3. Konformitätserklärung — Analyse</w:t>
      </w:r>
    </w:p>
    <w:p>
      <w:pPr>
        <w:jc w:val="left"/>
      </w:pPr>
      <w:r>
        <w:t>Die ausgestellte Konformitätserklärung (Frischwind, Erfurt, 10.02.2023) benennt die zutreffenden Richtlinien und Normen. Sie war für den Prototypen korrekt; für das Serienprodukt mit NMC-Zellen liegt eine inhaltliche Unwahrheit vor. Dies ist nach Art. 7 der EU-Marktüberwachungs-VO (EU) 2019/1020 ein meldepflichtiges Sicherheitsproblem.</w:t>
      </w:r>
    </w:p>
    <w:p/>
    <w:p>
      <w:pPr>
        <w:pStyle w:val="Heading2"/>
      </w:pPr>
      <w:r>
        <w:rPr>
          <w:rFonts w:ascii="Times New Roman" w:hAnsi="Times New Roman"/>
        </w:rPr>
        <w:t>4. Handlungsempfehlung</w:t>
      </w:r>
    </w:p>
    <w:p>
      <w:pPr>
        <w:pStyle w:val="ListNumber"/>
      </w:pPr>
      <w:r>
        <w:t>CE-Konformitätserklärung sofort zurückziehen und das Produkt vom Markt nehmen (parallel zum Rückruf).</w:t>
      </w:r>
    </w:p>
    <w:p>
      <w:pPr>
        <w:pStyle w:val="ListNumber"/>
      </w:pPr>
      <w:r>
        <w:t>TÜV Rheinland (NB 0035) informieren und Wiederholungsprüfung mit NMC-Zellen beauftragen — sofern der Firmware-Bug behoben ist.</w:t>
      </w:r>
    </w:p>
    <w:p>
      <w:pPr>
        <w:pStyle w:val="ListNumber"/>
      </w:pPr>
      <w:r>
        <w:t>Gegenüber BNetzA transparent kommunizieren, dass die Konformitätserklärung der Serienprodukte fehlerhaft war.</w:t>
      </w:r>
    </w:p>
    <w:p>
      <w:pPr>
        <w:pStyle w:val="ListNumber"/>
      </w:pPr>
      <w:r>
        <w:t>Neue Konformitätserklärung nur für überarbeitetes Produkt (Firmware V4.3, korrekte Zellenspezifikation) ausstellen.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