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Zellanalyse und BMS-Firmware-Bug V3.9.1 — Sachverständigengutachten</w:t>
      </w:r>
    </w:p>
    <w:p>
      <w:pPr>
        <w:jc w:val="left"/>
      </w:pPr>
      <w:r>
        <w:rPr>
          <w:b/>
        </w:rPr>
        <w:t>Dokument-Typ:</w:t>
      </w:r>
      <w:r>
        <w:t xml:space="preserve"> Zusammenfassung Sachverständigengutachten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Sachverständiger:</w:t>
      </w:r>
      <w:r>
        <w:t xml:space="preserve"> Prof. Dr.-Ing. Hartmut Schellberg, Institut für Elektrochemische Energiespeicher, TU Braunschweig</w:t>
      </w:r>
    </w:p>
    <w:p>
      <w:pPr>
        <w:jc w:val="left"/>
      </w:pPr>
      <w:r>
        <w:rPr>
          <w:b/>
        </w:rPr>
        <w:t>Gutachten-Nr.:</w:t>
      </w:r>
      <w:r>
        <w:t xml:space="preserve"> TUB-ESS-2026-0034</w:t>
      </w:r>
    </w:p>
    <w:p>
      <w:pPr>
        <w:jc w:val="left"/>
      </w:pPr>
      <w:r>
        <w:rPr>
          <w:b/>
        </w:rPr>
        <w:t>Datum Gutachten:</w:t>
      </w:r>
      <w:r>
        <w:t xml:space="preserve"> 14. Februar 2026</w:t>
      </w:r>
    </w:p>
    <w:p/>
    <w:p>
      <w:pPr>
        <w:pStyle w:val="Heading2"/>
      </w:pPr>
      <w:r>
        <w:rPr>
          <w:rFonts w:ascii="Times New Roman" w:hAnsi="Times New Roman"/>
        </w:rPr>
        <w:t>1. Auftrag</w:t>
      </w:r>
    </w:p>
    <w:p>
      <w:pPr>
        <w:jc w:val="left"/>
      </w:pPr>
      <w:r>
        <w:t>Frischwind Mobility GmbH beauftragte Prof. Dr.-Ing. Schellberg mit der Analyse von:</w:t>
      </w:r>
    </w:p>
    <w:p>
      <w:pPr>
        <w:pStyle w:val="ListNumber"/>
      </w:pPr>
      <w:r>
        <w:t>Zellchemie der CT-LI-45-X-Akkus (Ist vs. Soll laut Datenblatt)</w:t>
      </w:r>
    </w:p>
    <w:p>
      <w:pPr>
        <w:pStyle w:val="ListNumber"/>
      </w:pPr>
      <w:r>
        <w:t>BMS-Firmware-Verhalten Version 3.9.1 unter Grenztemperaturbedingungen</w:t>
      </w:r>
    </w:p>
    <w:p>
      <w:pPr>
        <w:pStyle w:val="ListNumber"/>
      </w:pPr>
      <w:r>
        <w:t>Kausalzusammenhang zwischen BMS-Bug und den drei dokumentierten Brandvorfällen</w:t>
      </w:r>
    </w:p>
    <w:p/>
    <w:p>
      <w:pPr>
        <w:pStyle w:val="Heading2"/>
      </w:pPr>
      <w:r>
        <w:rPr>
          <w:rFonts w:ascii="Times New Roman" w:hAnsi="Times New Roman"/>
        </w:rPr>
        <w:t>2. Zellanalyse</w:t>
      </w:r>
    </w:p>
    <w:p>
      <w:pPr>
        <w:jc w:val="left"/>
      </w:pPr>
      <w:r>
        <w:rPr>
          <w:b/>
        </w:rPr>
        <w:t>Methodik:</w:t>
      </w:r>
      <w:r>
        <w:t xml:space="preserve"> REM-EDX-Analyse (Rasterelektronenmikroskopie + energiedispersive Röntgenspektroskopie) an Zellen aus zwei unbeschadigten Akkus (Charge 2023-CH-441 und 2024-CH-088); ICP-OES (Massenspektrometrie) zur Elementanalyse Kathodenmaterial.</w:t>
      </w:r>
    </w:p>
    <w:p>
      <w:pPr>
        <w:jc w:val="left"/>
      </w:pPr>
      <w:r>
        <w:rPr>
          <w:b/>
        </w:rPr>
        <w:t>Ergebnis:</w:t>
      </w:r>
    </w:p>
    <w:p>
      <w:pPr>
        <w:pStyle w:val="ListBullet"/>
      </w:pPr>
      <w:r>
        <w:t>Datenblatt ChinaTech: LiFePO4 (Lithiumeisenphosphat) — Kathodenformel LiFePO4</w:t>
      </w:r>
    </w:p>
    <w:p>
      <w:pPr>
        <w:pStyle w:val="ListBullet"/>
      </w:pPr>
      <w:r>
        <w:t>Tatsächliche Zusammensetzung (EDX): NMC (Nickel-Mangan-Kobalt-Oxid) — Kathodenformel LiNi0.6Mn0.2Co0.2O2 (NMC-622)</w:t>
      </w:r>
    </w:p>
    <w:p>
      <w:pPr>
        <w:pStyle w:val="ListBullet"/>
      </w:pPr>
      <w:r>
        <w:t xml:space="preserve">Abweichung: </w:t>
      </w:r>
      <w:r>
        <w:rPr>
          <w:b/>
        </w:rPr>
        <w:t>Signifikant</w:t>
      </w:r>
      <w:r>
        <w:t xml:space="preserve"> — NMC-622 weist einen deutlich niedrigeren Onset-Punkt für thermisches Durchgehen auf (ca. 150 °C vs. LiFePO4 &gt; 270 °C)</w:t>
      </w:r>
    </w:p>
    <w:p>
      <w:pPr>
        <w:jc w:val="left"/>
      </w:pPr>
      <w:r>
        <w:rPr>
          <w:b/>
        </w:rPr>
        <w:t>Schlussfolgerung Sachverständiger:</w:t>
      </w:r>
      <w:r>
        <w:t xml:space="preserve"> „ChinaTech ShenZhen hat in den Serienakkus eine andere Zellchemie verbaut als im Datenblatt angegeben. Dies stellt eine wesentliche und sicherheitsrelevante Abweichung von der vertraglichen Spezifikation dar."</w:t>
      </w:r>
    </w:p>
    <w:p/>
    <w:p>
      <w:pPr>
        <w:pStyle w:val="Heading2"/>
      </w:pPr>
      <w:r>
        <w:rPr>
          <w:rFonts w:ascii="Times New Roman" w:hAnsi="Times New Roman"/>
        </w:rPr>
        <w:t>3. BMS-Firmware-Analyse</w:t>
      </w:r>
    </w:p>
    <w:p>
      <w:pPr>
        <w:jc w:val="left"/>
      </w:pPr>
      <w:r>
        <w:rPr>
          <w:b/>
        </w:rPr>
        <w:t>Methodik:</w:t>
      </w:r>
      <w:r>
        <w:t xml:space="preserve"> Firmware-Reverse-Engineering der Version 3.9.1 (Binär-Dump aus zwei Serienakkus); Vergleich mit dem Quellcode-Auszug, den CTO Dr. Pohlmann-Wittfeldt bereitgestellt hat; Simulation unter Temperaturbedingungen 35–45 °C.</w:t>
      </w:r>
    </w:p>
    <w:p>
      <w:pPr>
        <w:jc w:val="left"/>
      </w:pPr>
      <w:r>
        <w:rPr>
          <w:b/>
        </w:rPr>
        <w:t>Identifizierter Bug:</w:t>
      </w:r>
    </w:p>
    <w:p>
      <w:pPr>
        <w:jc w:val="left"/>
      </w:pPr>
      <w:r>
        <w:t>```</w:t>
      </w:r>
    </w:p>
    <w:p>
      <w:pPr>
        <w:jc w:val="left"/>
      </w:pPr>
      <w:r>
        <w:t>// Temperatur-Interrupt-Handler (BMS V3.9.1)</w:t>
      </w:r>
    </w:p>
    <w:p>
      <w:pPr>
        <w:jc w:val="left"/>
      </w:pPr>
      <w:r>
        <w:t>void TEMP_IRQ_Handler(void) {</w:t>
      </w:r>
    </w:p>
    <w:p>
      <w:pPr>
        <w:jc w:val="left"/>
      </w:pPr>
      <w:r>
        <w:t>if (temp_sensor_raw &gt; TEMP_THRESHOLD_HIGH) {</w:t>
      </w:r>
    </w:p>
    <w:p>
      <w:pPr>
        <w:jc w:val="left"/>
      </w:pPr>
      <w:r>
        <w:t>charge_enable = 0;   // Ladung stoppen</w:t>
      </w:r>
    </w:p>
    <w:p>
      <w:pPr>
        <w:jc w:val="left"/>
      </w:pPr>
      <w:r>
        <w:t>overheat_flag = 1;</w:t>
      </w:r>
    </w:p>
    <w:p>
      <w:pPr>
        <w:jc w:val="left"/>
      </w:pPr>
      <w:r>
        <w:t>}</w:t>
      </w:r>
    </w:p>
    <w:p>
      <w:pPr>
        <w:jc w:val="left"/>
      </w:pPr>
      <w:r>
        <w:t>// BUG: TEMP_THRESHOLD_HIGH wird bei hoher Umgebungstemperatur</w:t>
      </w:r>
    </w:p>
    <w:p>
      <w:pPr>
        <w:jc w:val="left"/>
      </w:pPr>
      <w:r>
        <w:t>// durch Integer-Overflow in temp_compensation_factor falsch berechnet.</w:t>
      </w:r>
    </w:p>
    <w:p>
      <w:pPr>
        <w:jc w:val="left"/>
      </w:pPr>
      <w:r>
        <w:t>// Ergebnis: Bei Umgebung &gt; 38°C wird TEMP_THRESHOLD_HIGH zu 0xFF überlaufen</w:t>
      </w:r>
    </w:p>
    <w:p>
      <w:pPr>
        <w:jc w:val="left"/>
      </w:pPr>
      <w:r>
        <w:t>// und der Handler niemals ausgelöst.</w:t>
      </w:r>
    </w:p>
    <w:p>
      <w:pPr>
        <w:jc w:val="left"/>
      </w:pPr>
      <w:r>
        <w:t>}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Wirkung:</w:t>
      </w:r>
      <w:r>
        <w:t xml:space="preserve"> Bei Umgebungstemperatur &gt; 38 °C und Ladestrom &gt; 3 A wird der Temperatur-Interrupt-Handler aufgrund eines Integer-Overflows im Kompensationsfaktor niemals ausgelöst. Die Zellen werden nicht abgeschaltet und laden weiter bis 4,35 V/Zelle — 7,1 % über dem Sicherheitsgrenzwert.</w:t>
      </w:r>
    </w:p>
    <w:p/>
    <w:p>
      <w:pPr>
        <w:pStyle w:val="Heading2"/>
      </w:pPr>
      <w:r>
        <w:rPr>
          <w:rFonts w:ascii="Times New Roman" w:hAnsi="Times New Roman"/>
        </w:rPr>
        <w:t>4. Kausalzusammenhang</w:t>
      </w:r>
    </w:p>
    <w:p>
      <w:pPr>
        <w:jc w:val="left"/>
      </w:pPr>
      <w:r>
        <w:rPr>
          <w:b/>
        </w:rPr>
        <w:t>Vorfall 1 (Köpenick):</w:t>
      </w:r>
      <w:r>
        <w:t xml:space="preserve"> Außentemperatur 39 °C, Schnellladung 3,5 A → BMS-Handler inaktiv → Überladung bis 4,35 V → thermisches Durchgehen. </w:t>
      </w:r>
      <w:r>
        <w:rPr>
          <w:b/>
        </w:rPr>
        <w:t>Kausal: Ja (sehr hohe Wahrscheinlichkeit).</w:t>
      </w:r>
    </w:p>
    <w:p>
      <w:pPr>
        <w:jc w:val="left"/>
      </w:pPr>
      <w:r>
        <w:rPr>
          <w:b/>
        </w:rPr>
        <w:t>Vorfall 2 (Leipzig):</w:t>
      </w:r>
      <w:r>
        <w:t xml:space="preserve"> Außentemperatur 41 °C, Ladung abgeschlossen, Fahrt in voller Sonne → Zelltemperatur akkumuliert → thermisches Durchgehen. </w:t>
      </w:r>
      <w:r>
        <w:rPr>
          <w:b/>
        </w:rPr>
        <w:t>Kausal: Ja (hohe Wahrscheinlichkeit).</w:t>
      </w:r>
    </w:p>
    <w:p>
      <w:pPr>
        <w:jc w:val="left"/>
      </w:pPr>
      <w:r>
        <w:rPr>
          <w:b/>
        </w:rPr>
        <w:t>Vorfall 3 (Stuttgart):</w:t>
      </w:r>
      <w:r>
        <w:t xml:space="preserve"> Kellertemperatur 36 °C (Heizungsnähe), Ladung über Nacht → Grenzfall, Temperatur knapp über 38 °C-Schwelle. </w:t>
      </w:r>
      <w:r>
        <w:rPr>
          <w:b/>
        </w:rPr>
        <w:t>Kausal: Wahrscheinlich.</w:t>
      </w:r>
    </w:p>
    <w:p/>
    <w:p>
      <w:pPr>
        <w:pStyle w:val="Heading2"/>
      </w:pPr>
      <w:r>
        <w:rPr>
          <w:rFonts w:ascii="Times New Roman" w:hAnsi="Times New Roman"/>
        </w:rPr>
        <w:t>5. Verantwortlichkeit ChinaTech vs. Frischwind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Ebene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ChinaTech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Frischwind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 Zellchemie im Datenblatt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 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Hätte durch Eingangsqualitätsprüfung entdeckt werden können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BMS-Firmware-Bug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 verantwortlich (Firmware-Hersteller)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Hätte in Eingangsvalidierung der Firmware geprüft werden müssen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Unterlassene RAPEX-Meldung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 verantwortlich — ProdSG-Verstoß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Unterlassener Rückruf nach Vorfall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 verantwortlich — § 26 ProdSG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