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RAPEX-Meldepflichten und Fristversäumnis</w:t>
      </w:r>
    </w:p>
    <w:p>
      <w:pPr>
        <w:jc w:val="left"/>
      </w:pPr>
      <w:r>
        <w:rPr>
          <w:b/>
        </w:rPr>
        <w:t>Dokument-Typ:</w:t>
      </w:r>
      <w:r>
        <w:t xml:space="preserve"> Rechtliche Analyse Meldepflichten</w:t>
      </w:r>
    </w:p>
    <w:p>
      <w:pPr>
        <w:jc w:val="left"/>
      </w:pPr>
      <w:r>
        <w:rPr>
          <w:b/>
        </w:rPr>
        <w:t>AZ Kanzlei:</w:t>
      </w:r>
      <w:r>
        <w:t xml:space="preserve"> MR-2026-0822</w:t>
      </w:r>
    </w:p>
    <w:p>
      <w:pPr>
        <w:jc w:val="left"/>
      </w:pPr>
      <w:r>
        <w:rPr>
          <w:b/>
        </w:rPr>
        <w:t>Bezug:</w:t>
      </w:r>
      <w:r>
        <w:t xml:space="preserve"> ProdSG §§ 3, 26, 39; Marktüberwachungs-VO (EU) 2019/1020 Art. 20; RAPEX-Leitlinien der Kommission</w:t>
      </w:r>
    </w:p>
    <w:p/>
    <w:p>
      <w:pPr>
        <w:pStyle w:val="Heading2"/>
      </w:pPr>
      <w:r>
        <w:rPr>
          <w:rFonts w:ascii="Times New Roman" w:hAnsi="Times New Roman"/>
        </w:rPr>
        <w:t>1. Rechtsgrundlagen der Meldepflicht</w:t>
      </w:r>
    </w:p>
    <w:p>
      <w:pPr>
        <w:jc w:val="left"/>
      </w:pPr>
      <w:r>
        <w:t>Die Pflicht zur RAPEX-Meldung ergibt sich aus mehreren Rechtsgrundlagen, die zusammen wirken:</w:t>
      </w:r>
    </w:p>
    <w:p>
      <w:pPr>
        <w:jc w:val="left"/>
      </w:pPr>
      <w:r>
        <w:rPr>
          <w:b/>
        </w:rPr>
        <w:t>§ 3 Abs. 3 ProdSG (2021):</w:t>
      </w:r>
      <w:r>
        <w:t xml:space="preserve"> Hersteller, die Kenntnis davon erhalten, dass ein von ihnen in Verkehr gebrachtes Produkt ein ernstes Risiko darstellt, sind verpflichtet, unverzüglich die zuständige Behörde zu informieren, insbesondere über die zur Identifizierung des Produkts erforderlichen Angaben, die Beschreibung des Risikos und alle getroffenen Korrekturmaßnahmen.</w:t>
      </w:r>
    </w:p>
    <w:p>
      <w:pPr>
        <w:jc w:val="left"/>
      </w:pPr>
      <w:r>
        <w:rPr>
          <w:b/>
        </w:rPr>
        <w:t>Art. 20 Abs. 1 Marktüberwachungs-VO (EU) 2019/1020:</w:t>
      </w:r>
      <w:r>
        <w:t xml:space="preserve"> Wirtschaftsakteure unterrichten die Marktüberwachungsbehörden der Mitgliedstaaten unverzüglich über Produkte, die von ihnen auf dem Markt bereitgestellt wurden und die ein Risiko darstellen.</w:t>
      </w:r>
    </w:p>
    <w:p>
      <w:pPr>
        <w:jc w:val="left"/>
      </w:pPr>
      <w:r>
        <w:rPr>
          <w:b/>
        </w:rPr>
        <w:t>§ 39 ProdSG:</w:t>
      </w:r>
      <w:r>
        <w:t xml:space="preserve"> Ordnungswidrig handelt, wer entgegen § 3 Abs. 3 eine Behörde nicht, nicht richtig, nicht vollständig oder nicht rechtzeitig unterrichtet. Bußgeld: bis zu 100.000 EUR.</w:t>
      </w:r>
    </w:p>
    <w:p/>
    <w:p>
      <w:pPr>
        <w:pStyle w:val="Heading2"/>
      </w:pPr>
      <w:r>
        <w:rPr>
          <w:rFonts w:ascii="Times New Roman" w:hAnsi="Times New Roman"/>
        </w:rPr>
        <w:t>2. RAPEX-System</w:t>
      </w:r>
    </w:p>
    <w:p>
      <w:pPr>
        <w:jc w:val="left"/>
      </w:pPr>
      <w:r>
        <w:t>RAPEX (Rapid Alert System for dangerous non-food Products) ist das EU-weite Schnellwarnsystem für gefährliche Nicht-Lebensmittelprodukte. Zuständige nationale Kontaktstelle in Deutschland: Bundesnetzagentur (BNetzA), Bonn, Abt. Produktsicherheit/Marktüberwachung.</w:t>
      </w:r>
    </w:p>
    <w:p>
      <w:pPr>
        <w:jc w:val="left"/>
      </w:pPr>
      <w:r>
        <w:t xml:space="preserve">Bei Produkten mit </w:t>
      </w:r>
      <w:r>
        <w:rPr>
          <w:b/>
        </w:rPr>
        <w:t>ernstem Risiko</w:t>
      </w:r>
      <w:r>
        <w:t xml:space="preserve"> (serious risk) ist die Meldung innerhalb von 3 Arbeitstagen nach Kenntniserlangung an die BNetzA zu erstatten (RAPEX-Leitlinien, Abschn. 3.1.2.1; Art. 20 Abs. 2 Marktüberwachungs-VO 2019/1020).</w:t>
      </w:r>
    </w:p>
    <w:p/>
    <w:p>
      <w:pPr>
        <w:pStyle w:val="Heading2"/>
      </w:pPr>
      <w:r>
        <w:rPr>
          <w:rFonts w:ascii="Times New Roman" w:hAnsi="Times New Roman"/>
        </w:rPr>
        <w:t>3. Frischwind-Fristversäumnis im Detail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Ereignis</w:t>
            </w:r>
          </w:p>
        </w:tc>
        <w:tc>
          <w:tcPr>
            <w:tcW w:type="dxa" w:w="4536"/>
          </w:tcPr>
          <w:p>
            <w:r>
              <w:rPr>
                <w:rFonts w:ascii="Times New Roman" w:hAnsi="Times New Roman"/>
                <w:b/>
                <w:sz w:val="20"/>
              </w:rPr>
              <w:t>Datum</w:t>
            </w:r>
          </w:p>
        </w:tc>
      </w:tr>
      <w:tr>
        <w:tc>
          <w:tcPr>
            <w:tcW w:type="dxa" w:w="4536"/>
          </w:tcPr>
          <w:p>
            <w:r>
              <w:rPr>
                <w:rFonts w:ascii="Times New Roman" w:hAnsi="Times New Roman"/>
                <w:sz w:val="20"/>
              </w:rPr>
              <w:t>Frischwind-interne sichere Kenntnis vom BMS-Bug</w:t>
            </w:r>
          </w:p>
        </w:tc>
        <w:tc>
          <w:tcPr>
            <w:tcW w:type="dxa" w:w="4536"/>
          </w:tcPr>
          <w:p>
            <w:r>
              <w:rPr>
                <w:rFonts w:ascii="Times New Roman" w:hAnsi="Times New Roman"/>
                <w:sz w:val="20"/>
              </w:rPr>
              <w:t>ca. 15. Dezember 2025 (internes QM-Memo)</w:t>
            </w:r>
          </w:p>
        </w:tc>
      </w:tr>
      <w:tr>
        <w:tc>
          <w:tcPr>
            <w:tcW w:type="dxa" w:w="4536"/>
          </w:tcPr>
          <w:p>
            <w:r>
              <w:rPr>
                <w:rFonts w:ascii="Times New Roman" w:hAnsi="Times New Roman"/>
                <w:sz w:val="20"/>
              </w:rPr>
              <w:t>Spätestens: Vorfall 3 Stuttgart</w:t>
            </w:r>
          </w:p>
        </w:tc>
        <w:tc>
          <w:tcPr>
            <w:tcW w:type="dxa" w:w="4536"/>
          </w:tcPr>
          <w:p>
            <w:r>
              <w:rPr>
                <w:rFonts w:ascii="Times New Roman" w:hAnsi="Times New Roman"/>
                <w:sz w:val="20"/>
              </w:rPr>
              <w:t>02. Januar 2026</w:t>
            </w:r>
          </w:p>
        </w:tc>
      </w:tr>
      <w:tr>
        <w:tc>
          <w:tcPr>
            <w:tcW w:type="dxa" w:w="4536"/>
          </w:tcPr>
          <w:p>
            <w:r>
              <w:rPr>
                <w:rFonts w:ascii="Times New Roman" w:hAnsi="Times New Roman"/>
                <w:sz w:val="20"/>
              </w:rPr>
              <w:t>RAPEX-Meldung eingereicht bei BNetzA</w:t>
            </w:r>
          </w:p>
        </w:tc>
        <w:tc>
          <w:tcPr>
            <w:tcW w:type="dxa" w:w="4536"/>
          </w:tcPr>
          <w:p>
            <w:r>
              <w:rPr>
                <w:rFonts w:ascii="Times New Roman" w:hAnsi="Times New Roman"/>
                <w:sz w:val="20"/>
              </w:rPr>
              <w:t>15. Februar 2026</w:t>
            </w:r>
          </w:p>
        </w:tc>
      </w:tr>
      <w:tr>
        <w:tc>
          <w:tcPr>
            <w:tcW w:type="dxa" w:w="4536"/>
          </w:tcPr>
          <w:p>
            <w:r>
              <w:rPr>
                <w:rFonts w:ascii="Times New Roman" w:hAnsi="Times New Roman"/>
                <w:sz w:val="20"/>
              </w:rPr>
              <w:t>Verspätung ab QM-Memo</w:t>
            </w:r>
          </w:p>
        </w:tc>
        <w:tc>
          <w:tcPr>
            <w:tcW w:type="dxa" w:w="4536"/>
          </w:tcPr>
          <w:p>
            <w:r>
              <w:rPr>
                <w:rFonts w:ascii="Times New Roman" w:hAnsi="Times New Roman"/>
                <w:sz w:val="20"/>
              </w:rPr>
              <w:t>ca. 62 Tage</w:t>
            </w:r>
          </w:p>
        </w:tc>
      </w:tr>
      <w:tr>
        <w:tc>
          <w:tcPr>
            <w:tcW w:type="dxa" w:w="4536"/>
          </w:tcPr>
          <w:p>
            <w:r>
              <w:rPr>
                <w:rFonts w:ascii="Times New Roman" w:hAnsi="Times New Roman"/>
                <w:sz w:val="20"/>
              </w:rPr>
              <w:t>Verspätung ab Vorfall 3</w:t>
            </w:r>
          </w:p>
        </w:tc>
        <w:tc>
          <w:tcPr>
            <w:tcW w:type="dxa" w:w="4536"/>
          </w:tcPr>
          <w:p>
            <w:r>
              <w:rPr>
                <w:rFonts w:ascii="Times New Roman" w:hAnsi="Times New Roman"/>
                <w:sz w:val="20"/>
              </w:rPr>
              <w:t>ca. 44 Tage</w:t>
            </w:r>
          </w:p>
        </w:tc>
      </w:tr>
    </w:tbl>
    <w:p>
      <w:pPr>
        <w:jc w:val="left"/>
      </w:pPr>
      <w:r>
        <w:rPr>
          <w:b/>
        </w:rPr>
        <w:t>Anmerkung:</w:t>
      </w:r>
      <w:r>
        <w:t xml:space="preserve"> Frischwind versucht zu argumentieren, die sichere Kenntnis vom „ernstes Risiko" hätte erst mit dem Gutachten von Prof. Schellberg (14.02.2026) vorgelegen. Diese Argumentation dürfte scheitern, da das interne QM-Memo vom 15.12.2025 explizit von einem „kritischen Sicherheitsrisiko durch BMS-Firmware" spricht und mindestens drei Brandvorfälle bekannt waren.</w:t>
      </w:r>
    </w:p>
    <w:p/>
    <w:p>
      <w:pPr>
        <w:pStyle w:val="Heading2"/>
      </w:pPr>
      <w:r>
        <w:rPr>
          <w:rFonts w:ascii="Times New Roman" w:hAnsi="Times New Roman"/>
        </w:rPr>
        <w:t>4. Inhalt der nachgereichten RAPEX-Meldung (15.02.2026)</w:t>
      </w:r>
    </w:p>
    <w:p>
      <w:pPr>
        <w:pStyle w:val="ListBullet"/>
      </w:pPr>
      <w:r>
        <w:t>Produkt: Frischwind Wind-X7 Pedelec, alle Modellvarianten</w:t>
      </w:r>
    </w:p>
    <w:p>
      <w:pPr>
        <w:pStyle w:val="ListBullet"/>
      </w:pPr>
      <w:r>
        <w:t>Gefährlichkeit: Ernstes Risiko (Feuer, Verbrennung)</w:t>
      </w:r>
    </w:p>
    <w:p>
      <w:pPr>
        <w:pStyle w:val="ListBullet"/>
      </w:pPr>
      <w:r>
        <w:t>Ursache: BMS-Firmware-Bug V3.9.1 (Temperatur-Interrupt-Overflow bei &gt; 38 °C)</w:t>
      </w:r>
    </w:p>
    <w:p>
      <w:pPr>
        <w:pStyle w:val="ListBullet"/>
      </w:pPr>
      <w:r>
        <w:t>Betroffene Einheiten: ca. 4.200 (DE/AT/CH/NL/BE)</w:t>
      </w:r>
    </w:p>
    <w:p>
      <w:pPr>
        <w:pStyle w:val="ListBullet"/>
      </w:pPr>
      <w:r>
        <w:t>Maßnahmen: Freiwilliger Rückruf, Nutzungswarnung</w:t>
      </w:r>
    </w:p>
    <w:p>
      <w:pPr>
        <w:pStyle w:val="ListBullet"/>
      </w:pPr>
      <w:r>
        <w:t>Referenz RAPEX-Meldung: BNetzA MFS-2026-RAPEX-1188</w:t>
      </w:r>
    </w:p>
    <w:p/>
    <w:p>
      <w:pPr>
        <w:pStyle w:val="Heading2"/>
      </w:pPr>
      <w:r>
        <w:rPr>
          <w:rFonts w:ascii="Times New Roman" w:hAnsi="Times New Roman"/>
        </w:rPr>
        <w:t>5. Bußgeldrisiko und Abwehrstrategie</w:t>
      </w:r>
    </w:p>
    <w:p>
      <w:pPr>
        <w:jc w:val="left"/>
      </w:pPr>
      <w:r>
        <w:rPr>
          <w:b/>
        </w:rPr>
        <w:t>Bußgeldrahmen:</w:t>
      </w:r>
      <w:r>
        <w:t xml:space="preserve"> Bis zu 100.000 EUR nach § 39 ProdSG. Bei mehreren Vorfällen (Vorfall 2 nicht gemeldet → weiterer Verstoß) möglicherweise kumulativ.</w:t>
      </w:r>
    </w:p>
    <w:p>
      <w:pPr>
        <w:jc w:val="left"/>
      </w:pPr>
      <w:r>
        <w:rPr>
          <w:b/>
        </w:rPr>
        <w:t>Abwehrstrategie:</w:t>
      </w:r>
    </w:p>
    <w:p>
      <w:pPr>
        <w:pStyle w:val="ListBullet"/>
      </w:pPr>
      <w:r>
        <w:t>Darstellung, dass die sichere Kenntnis erst durch das externe Sachverständigengutachten entstand.</w:t>
      </w:r>
    </w:p>
    <w:p>
      <w:pPr>
        <w:pStyle w:val="ListBullet"/>
      </w:pPr>
      <w:r>
        <w:t>Kooperation mit BNetzA maximal demonstrieren: vollständige Dokumentenoffenlegung.</w:t>
      </w:r>
    </w:p>
    <w:p>
      <w:pPr>
        <w:pStyle w:val="ListBullet"/>
      </w:pPr>
      <w:r>
        <w:t>Rückruf als freiwillige Maßnahme positiv herausheben.</w:t>
      </w:r>
    </w:p>
    <w:p>
      <w:pPr>
        <w:pStyle w:val="ListBullet"/>
      </w:pPr>
      <w:r>
        <w:t>Milderungsgesichtspunkte: Wirtschaftliche Bedeutung des Rückrufs für KMU (180 MA, 22 Mio. EUR Umsatz).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