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Produktrückruf Wind-X7 — Strategie und Konzept</w:t>
      </w:r>
    </w:p>
    <w:p>
      <w:pPr>
        <w:jc w:val="left"/>
      </w:pPr>
      <w:r>
        <w:rPr>
          <w:b/>
        </w:rPr>
        <w:t>Dokument-Typ:</w:t>
      </w:r>
      <w:r>
        <w:t xml:space="preserve"> Strategiepapier Produktrückruf</w:t>
      </w:r>
    </w:p>
    <w:p>
      <w:pPr>
        <w:jc w:val="left"/>
      </w:pPr>
      <w:r>
        <w:rPr>
          <w:b/>
        </w:rPr>
        <w:t>AZ Kanzlei:</w:t>
      </w:r>
      <w:r>
        <w:t xml:space="preserve"> MR-2026-0822</w:t>
      </w:r>
    </w:p>
    <w:p>
      <w:pPr>
        <w:jc w:val="left"/>
      </w:pPr>
      <w:r>
        <w:rPr>
          <w:b/>
        </w:rPr>
        <w:t>Entscheidungsdatum Rückruf:</w:t>
      </w:r>
      <w:r>
        <w:t xml:space="preserve"> 28. Januar 2026 (Krisenstab-Beschluss)</w:t>
      </w:r>
    </w:p>
    <w:p/>
    <w:p>
      <w:pPr>
        <w:pStyle w:val="Heading2"/>
      </w:pPr>
      <w:r>
        <w:rPr>
          <w:rFonts w:ascii="Times New Roman" w:hAnsi="Times New Roman"/>
        </w:rPr>
        <w:t>1. Rückruf-Entscheidung</w:t>
      </w:r>
    </w:p>
    <w:p>
      <w:pPr>
        <w:jc w:val="left"/>
      </w:pPr>
      <w:r>
        <w:t>Der Krisenstab von Frischwind Mobility GmbH hat am 28. Januar 2026 den freiwilligen Rückruf aller Wind-X7 Pedelecs (alle Produktionsjahre, alle Varianten) beschlossen. Die Entscheidung ist rechtlich geboten (§ 26 Abs. 1 ProdSG) und wirtschaftlich trotz der erheblichen Kosten alternativlos, um weitere Personenschäden zu verhindern.</w:t>
      </w:r>
    </w:p>
    <w:p/>
    <w:p>
      <w:pPr>
        <w:pStyle w:val="Heading2"/>
      </w:pPr>
      <w:r>
        <w:rPr>
          <w:rFonts w:ascii="Times New Roman" w:hAnsi="Times New Roman"/>
        </w:rPr>
        <w:t>2. Betroffene Einheiten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Markt</w:t>
            </w:r>
          </w:p>
        </w:tc>
        <w:tc>
          <w:tcPr>
            <w:tcW w:type="dxa" w:w="3024"/>
          </w:tcPr>
          <w:p>
            <w:r>
              <w:rPr>
                <w:rFonts w:ascii="Times New Roman" w:hAnsi="Times New Roman"/>
                <w:b/>
                <w:sz w:val="20"/>
              </w:rPr>
              <w:t>Verkaufte Einheiten (kumuliert)</w:t>
            </w:r>
          </w:p>
        </w:tc>
        <w:tc>
          <w:tcPr>
            <w:tcW w:type="dxa" w:w="3024"/>
          </w:tcPr>
          <w:p>
            <w:r>
              <w:rPr>
                <w:rFonts w:ascii="Times New Roman" w:hAnsi="Times New Roman"/>
                <w:b/>
                <w:sz w:val="20"/>
              </w:rPr>
              <w:t>Rücklaufquote angestrebt</w:t>
            </w:r>
          </w:p>
        </w:tc>
      </w:tr>
      <w:tr>
        <w:tc>
          <w:tcPr>
            <w:tcW w:type="dxa" w:w="3024"/>
          </w:tcPr>
          <w:p>
            <w:r>
              <w:rPr>
                <w:rFonts w:ascii="Times New Roman" w:hAnsi="Times New Roman"/>
                <w:sz w:val="20"/>
              </w:rPr>
              <w:t>Deutschland</w:t>
            </w:r>
          </w:p>
        </w:tc>
        <w:tc>
          <w:tcPr>
            <w:tcW w:type="dxa" w:w="3024"/>
          </w:tcPr>
          <w:p>
            <w:r>
              <w:rPr>
                <w:rFonts w:ascii="Times New Roman" w:hAnsi="Times New Roman"/>
                <w:sz w:val="20"/>
              </w:rPr>
              <w:t>ca. 2.800</w:t>
            </w:r>
          </w:p>
        </w:tc>
        <w:tc>
          <w:tcPr>
            <w:tcW w:type="dxa" w:w="3024"/>
          </w:tcPr>
          <w:p>
            <w:r>
              <w:rPr>
                <w:rFonts w:ascii="Times New Roman" w:hAnsi="Times New Roman"/>
                <w:sz w:val="20"/>
              </w:rPr>
              <w:t>95 %</w:t>
            </w:r>
          </w:p>
        </w:tc>
      </w:tr>
      <w:tr>
        <w:tc>
          <w:tcPr>
            <w:tcW w:type="dxa" w:w="3024"/>
          </w:tcPr>
          <w:p>
            <w:r>
              <w:rPr>
                <w:rFonts w:ascii="Times New Roman" w:hAnsi="Times New Roman"/>
                <w:sz w:val="20"/>
              </w:rPr>
              <w:t>Österreich</w:t>
            </w:r>
          </w:p>
        </w:tc>
        <w:tc>
          <w:tcPr>
            <w:tcW w:type="dxa" w:w="3024"/>
          </w:tcPr>
          <w:p>
            <w:r>
              <w:rPr>
                <w:rFonts w:ascii="Times New Roman" w:hAnsi="Times New Roman"/>
                <w:sz w:val="20"/>
              </w:rPr>
              <w:t>ca. 620</w:t>
            </w:r>
          </w:p>
        </w:tc>
        <w:tc>
          <w:tcPr>
            <w:tcW w:type="dxa" w:w="3024"/>
          </w:tcPr>
          <w:p>
            <w:r>
              <w:rPr>
                <w:rFonts w:ascii="Times New Roman" w:hAnsi="Times New Roman"/>
                <w:sz w:val="20"/>
              </w:rPr>
              <w:t>90 %</w:t>
            </w:r>
          </w:p>
        </w:tc>
      </w:tr>
      <w:tr>
        <w:tc>
          <w:tcPr>
            <w:tcW w:type="dxa" w:w="3024"/>
          </w:tcPr>
          <w:p>
            <w:r>
              <w:rPr>
                <w:rFonts w:ascii="Times New Roman" w:hAnsi="Times New Roman"/>
                <w:sz w:val="20"/>
              </w:rPr>
              <w:t>Schweiz</w:t>
            </w:r>
          </w:p>
        </w:tc>
        <w:tc>
          <w:tcPr>
            <w:tcW w:type="dxa" w:w="3024"/>
          </w:tcPr>
          <w:p>
            <w:r>
              <w:rPr>
                <w:rFonts w:ascii="Times New Roman" w:hAnsi="Times New Roman"/>
                <w:sz w:val="20"/>
              </w:rPr>
              <w:t>ca. 380</w:t>
            </w:r>
          </w:p>
        </w:tc>
        <w:tc>
          <w:tcPr>
            <w:tcW w:type="dxa" w:w="3024"/>
          </w:tcPr>
          <w:p>
            <w:r>
              <w:rPr>
                <w:rFonts w:ascii="Times New Roman" w:hAnsi="Times New Roman"/>
                <w:sz w:val="20"/>
              </w:rPr>
              <w:t>90 %</w:t>
            </w:r>
          </w:p>
        </w:tc>
      </w:tr>
      <w:tr>
        <w:tc>
          <w:tcPr>
            <w:tcW w:type="dxa" w:w="3024"/>
          </w:tcPr>
          <w:p>
            <w:r>
              <w:rPr>
                <w:rFonts w:ascii="Times New Roman" w:hAnsi="Times New Roman"/>
                <w:sz w:val="20"/>
              </w:rPr>
              <w:t>Niederlande</w:t>
            </w:r>
          </w:p>
        </w:tc>
        <w:tc>
          <w:tcPr>
            <w:tcW w:type="dxa" w:w="3024"/>
          </w:tcPr>
          <w:p>
            <w:r>
              <w:rPr>
                <w:rFonts w:ascii="Times New Roman" w:hAnsi="Times New Roman"/>
                <w:sz w:val="20"/>
              </w:rPr>
              <w:t>ca. 280</w:t>
            </w:r>
          </w:p>
        </w:tc>
        <w:tc>
          <w:tcPr>
            <w:tcW w:type="dxa" w:w="3024"/>
          </w:tcPr>
          <w:p>
            <w:r>
              <w:rPr>
                <w:rFonts w:ascii="Times New Roman" w:hAnsi="Times New Roman"/>
                <w:sz w:val="20"/>
              </w:rPr>
              <w:t>85 %</w:t>
            </w:r>
          </w:p>
        </w:tc>
      </w:tr>
      <w:tr>
        <w:tc>
          <w:tcPr>
            <w:tcW w:type="dxa" w:w="3024"/>
          </w:tcPr>
          <w:p>
            <w:r>
              <w:rPr>
                <w:rFonts w:ascii="Times New Roman" w:hAnsi="Times New Roman"/>
                <w:sz w:val="20"/>
              </w:rPr>
              <w:t>Belgien</w:t>
            </w:r>
          </w:p>
        </w:tc>
        <w:tc>
          <w:tcPr>
            <w:tcW w:type="dxa" w:w="3024"/>
          </w:tcPr>
          <w:p>
            <w:r>
              <w:rPr>
                <w:rFonts w:ascii="Times New Roman" w:hAnsi="Times New Roman"/>
                <w:sz w:val="20"/>
              </w:rPr>
              <w:t>ca. 120</w:t>
            </w:r>
          </w:p>
        </w:tc>
        <w:tc>
          <w:tcPr>
            <w:tcW w:type="dxa" w:w="3024"/>
          </w:tcPr>
          <w:p>
            <w:r>
              <w:rPr>
                <w:rFonts w:ascii="Times New Roman" w:hAnsi="Times New Roman"/>
                <w:sz w:val="20"/>
              </w:rPr>
              <w:t>80 %</w:t>
            </w:r>
          </w:p>
        </w:tc>
      </w:tr>
      <w:tr>
        <w:tc>
          <w:tcPr>
            <w:tcW w:type="dxa" w:w="3024"/>
          </w:tcPr>
          <w:p>
            <w:r>
              <w:rPr>
                <w:rFonts w:ascii="Times New Roman" w:hAnsi="Times New Roman"/>
                <w:b/>
                <w:sz w:val="20"/>
              </w:rPr>
              <w:t>Gesamt</w:t>
            </w:r>
          </w:p>
        </w:tc>
        <w:tc>
          <w:tcPr>
            <w:tcW w:type="dxa" w:w="3024"/>
          </w:tcPr>
          <w:p>
            <w:r>
              <w:rPr>
                <w:rFonts w:ascii="Times New Roman" w:hAnsi="Times New Roman"/>
                <w:b/>
                <w:sz w:val="20"/>
              </w:rPr>
              <w:t>ca. 4.200</w:t>
            </w:r>
          </w:p>
        </w:tc>
        <w:tc>
          <w:tcPr>
            <w:tcW w:type="dxa" w:w="3024"/>
          </w:tcPr>
          <w:p>
            <w:r>
              <w:rPr>
                <w:rFonts w:ascii="Times New Roman" w:hAnsi="Times New Roman"/>
                <w:b/>
                <w:sz w:val="20"/>
              </w:rPr>
              <w:t>~92 %</w:t>
            </w:r>
          </w:p>
        </w:tc>
      </w:tr>
    </w:tbl>
    <w:p/>
    <w:p>
      <w:pPr>
        <w:pStyle w:val="Heading2"/>
      </w:pPr>
      <w:r>
        <w:rPr>
          <w:rFonts w:ascii="Times New Roman" w:hAnsi="Times New Roman"/>
        </w:rPr>
        <w:t>3. Rückrufmaßnahmen im Detail</w:t>
      </w:r>
    </w:p>
    <w:p>
      <w:pPr>
        <w:jc w:val="left"/>
      </w:pPr>
      <w:r>
        <w:rPr>
          <w:b/>
        </w:rPr>
        <w:t>Phase 1 (ab 05.02.2026):</w:t>
      </w:r>
      <w:r>
        <w:t xml:space="preserve"> Händleranschreiben</w:t>
      </w:r>
    </w:p>
    <w:p>
      <w:pPr>
        <w:pStyle w:val="ListBullet"/>
      </w:pPr>
      <w:r>
        <w:t>48 Vertragshändler (DE/AT/CH) angeschrieben</w:t>
      </w:r>
    </w:p>
    <w:p>
      <w:pPr>
        <w:pStyle w:val="ListBullet"/>
      </w:pPr>
      <w:r>
        <w:t>Wichtigste Botschaft: Verkaufsstopp sofort; alle vorrätigen Bikes sicherstellen</w:t>
      </w:r>
    </w:p>
    <w:p>
      <w:pPr>
        <w:pStyle w:val="ListBullet"/>
      </w:pPr>
      <w:r>
        <w:t>Rücksendelogistik per Spedition Frischwind auf Kosten des Herstellers</w:t>
      </w:r>
    </w:p>
    <w:p>
      <w:pPr>
        <w:pStyle w:val="ListBullet"/>
      </w:pPr>
      <w:r>
        <w:t>Händlerportal mit Rückruf-Tracking eingerichtet</w:t>
      </w:r>
    </w:p>
    <w:p>
      <w:pPr>
        <w:jc w:val="left"/>
      </w:pPr>
      <w:r>
        <w:rPr>
          <w:b/>
        </w:rPr>
        <w:t>Phase 2 (ab 10.02.2026):</w:t>
      </w:r>
      <w:r>
        <w:t xml:space="preserve"> Endkunden-Kommunikation</w:t>
      </w:r>
    </w:p>
    <w:p>
      <w:pPr>
        <w:pStyle w:val="ListBullet"/>
      </w:pPr>
      <w:r>
        <w:t>Pressemitteilung Vorstand (15.02.2026)</w:t>
      </w:r>
    </w:p>
    <w:p>
      <w:pPr>
        <w:pStyle w:val="ListBullet"/>
      </w:pPr>
      <w:r>
        <w:t>E-Mail an alle registrierten Kunden (ca. 3.400 Kundenkonten)</w:t>
      </w:r>
    </w:p>
    <w:p>
      <w:pPr>
        <w:pStyle w:val="ListBullet"/>
      </w:pPr>
      <w:r>
        <w:t>Erinnerungs-Postwurf für nicht-registrierte Kunden (Stichprobe aus PLZ-Analyse)</w:t>
      </w:r>
    </w:p>
    <w:p>
      <w:pPr>
        <w:pStyle w:val="ListBullet"/>
      </w:pPr>
      <w:r>
        <w:t>Website-Hinweis und Social-Media-Kampagne</w:t>
      </w:r>
    </w:p>
    <w:p>
      <w:pPr>
        <w:jc w:val="left"/>
      </w:pPr>
      <w:r>
        <w:rPr>
          <w:b/>
        </w:rPr>
        <w:t>Phase 3 (ab 20.02.2026):</w:t>
      </w:r>
      <w:r>
        <w:t xml:space="preserve"> Rücknahme und Entschädigung</w:t>
      </w:r>
    </w:p>
    <w:p>
      <w:pPr>
        <w:pStyle w:val="ListBullet"/>
      </w:pPr>
      <w:r>
        <w:t>Rückgabe-Standorte: Alle 48 Vertragshändler und Werk Erfurt</w:t>
      </w:r>
    </w:p>
    <w:p>
      <w:pPr>
        <w:pStyle w:val="ListBullet"/>
      </w:pPr>
      <w:r>
        <w:t>Entschädigungsmodell: Wahlweise (a) Vollrückerstattung Kaufpreis oder (b) Gutschein für neues Modell Wind-X8 (geplant Q4 2026) + 200 EUR Bonus</w:t>
      </w:r>
    </w:p>
    <w:p/>
    <w:p>
      <w:pPr>
        <w:pStyle w:val="Heading2"/>
      </w:pPr>
      <w:r>
        <w:rPr>
          <w:rFonts w:ascii="Times New Roman" w:hAnsi="Times New Roman"/>
        </w:rPr>
        <w:t>4. Kostenprognose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Kostenposition</w:t>
            </w:r>
          </w:p>
        </w:tc>
        <w:tc>
          <w:tcPr>
            <w:tcW w:type="dxa" w:w="4536"/>
          </w:tcPr>
          <w:p>
            <w:r>
              <w:rPr>
                <w:rFonts w:ascii="Times New Roman" w:hAnsi="Times New Roman"/>
                <w:b/>
                <w:sz w:val="20"/>
              </w:rPr>
              <w:t>Schätzung (EUR)</w:t>
            </w:r>
          </w:p>
        </w:tc>
      </w:tr>
      <w:tr>
        <w:tc>
          <w:tcPr>
            <w:tcW w:type="dxa" w:w="4536"/>
          </w:tcPr>
          <w:p>
            <w:r>
              <w:rPr>
                <w:rFonts w:ascii="Times New Roman" w:hAnsi="Times New Roman"/>
                <w:sz w:val="20"/>
              </w:rPr>
              <w:t>Logistik Rücktransport (4.200 Einheiten)</w:t>
            </w:r>
          </w:p>
        </w:tc>
        <w:tc>
          <w:tcPr>
            <w:tcW w:type="dxa" w:w="4536"/>
          </w:tcPr>
          <w:p>
            <w:r>
              <w:rPr>
                <w:rFonts w:ascii="Times New Roman" w:hAnsi="Times New Roman"/>
                <w:sz w:val="20"/>
              </w:rPr>
              <w:t>420.000</w:t>
            </w:r>
          </w:p>
        </w:tc>
      </w:tr>
      <w:tr>
        <w:tc>
          <w:tcPr>
            <w:tcW w:type="dxa" w:w="4536"/>
          </w:tcPr>
          <w:p>
            <w:r>
              <w:rPr>
                <w:rFonts w:ascii="Times New Roman" w:hAnsi="Times New Roman"/>
                <w:sz w:val="20"/>
              </w:rPr>
              <w:t>Kaufpreiserstattungen (angenommen: 70 % von 3.990 EUR)</w:t>
            </w:r>
          </w:p>
        </w:tc>
        <w:tc>
          <w:tcPr>
            <w:tcW w:type="dxa" w:w="4536"/>
          </w:tcPr>
          <w:p>
            <w:r>
              <w:rPr>
                <w:rFonts w:ascii="Times New Roman" w:hAnsi="Times New Roman"/>
                <w:sz w:val="20"/>
              </w:rPr>
              <w:t>11.732.000</w:t>
            </w:r>
          </w:p>
        </w:tc>
      </w:tr>
      <w:tr>
        <w:tc>
          <w:tcPr>
            <w:tcW w:type="dxa" w:w="4536"/>
          </w:tcPr>
          <w:p>
            <w:r>
              <w:rPr>
                <w:rFonts w:ascii="Times New Roman" w:hAnsi="Times New Roman"/>
                <w:sz w:val="20"/>
              </w:rPr>
              <w:t>Gutschein-Differenzwert (30 % Kunden)</w:t>
            </w:r>
          </w:p>
        </w:tc>
        <w:tc>
          <w:tcPr>
            <w:tcW w:type="dxa" w:w="4536"/>
          </w:tcPr>
          <w:p>
            <w:r>
              <w:rPr>
                <w:rFonts w:ascii="Times New Roman" w:hAnsi="Times New Roman"/>
                <w:sz w:val="20"/>
              </w:rPr>
              <w:t>1.200.000</w:t>
            </w:r>
          </w:p>
        </w:tc>
      </w:tr>
      <w:tr>
        <w:tc>
          <w:tcPr>
            <w:tcW w:type="dxa" w:w="4536"/>
          </w:tcPr>
          <w:p>
            <w:r>
              <w:rPr>
                <w:rFonts w:ascii="Times New Roman" w:hAnsi="Times New Roman"/>
                <w:sz w:val="20"/>
              </w:rPr>
              <w:t>Personal (Hotline, Händlerkoordination)</w:t>
            </w:r>
          </w:p>
        </w:tc>
        <w:tc>
          <w:tcPr>
            <w:tcW w:type="dxa" w:w="4536"/>
          </w:tcPr>
          <w:p>
            <w:r>
              <w:rPr>
                <w:rFonts w:ascii="Times New Roman" w:hAnsi="Times New Roman"/>
                <w:sz w:val="20"/>
              </w:rPr>
              <w:t>180.000</w:t>
            </w:r>
          </w:p>
        </w:tc>
      </w:tr>
      <w:tr>
        <w:tc>
          <w:tcPr>
            <w:tcW w:type="dxa" w:w="4536"/>
          </w:tcPr>
          <w:p>
            <w:r>
              <w:rPr>
                <w:rFonts w:ascii="Times New Roman" w:hAnsi="Times New Roman"/>
                <w:sz w:val="20"/>
              </w:rPr>
              <w:t>Rechts- und Gutachterkosten</w:t>
            </w:r>
          </w:p>
        </w:tc>
        <w:tc>
          <w:tcPr>
            <w:tcW w:type="dxa" w:w="4536"/>
          </w:tcPr>
          <w:p>
            <w:r>
              <w:rPr>
                <w:rFonts w:ascii="Times New Roman" w:hAnsi="Times New Roman"/>
                <w:sz w:val="20"/>
              </w:rPr>
              <w:t>280.000</w:t>
            </w:r>
          </w:p>
        </w:tc>
      </w:tr>
      <w:tr>
        <w:tc>
          <w:tcPr>
            <w:tcW w:type="dxa" w:w="4536"/>
          </w:tcPr>
          <w:p>
            <w:r>
              <w:rPr>
                <w:rFonts w:ascii="Times New Roman" w:hAnsi="Times New Roman"/>
                <w:sz w:val="20"/>
              </w:rPr>
              <w:t>Werbe-/Kommunikationskosten</w:t>
            </w:r>
          </w:p>
        </w:tc>
        <w:tc>
          <w:tcPr>
            <w:tcW w:type="dxa" w:w="4536"/>
          </w:tcPr>
          <w:p>
            <w:r>
              <w:rPr>
                <w:rFonts w:ascii="Times New Roman" w:hAnsi="Times New Roman"/>
                <w:sz w:val="20"/>
              </w:rPr>
              <w:t>120.000</w:t>
            </w:r>
          </w:p>
        </w:tc>
      </w:tr>
      <w:tr>
        <w:tc>
          <w:tcPr>
            <w:tcW w:type="dxa" w:w="4536"/>
          </w:tcPr>
          <w:p>
            <w:r>
              <w:rPr>
                <w:rFonts w:ascii="Times New Roman" w:hAnsi="Times New Roman"/>
                <w:b/>
                <w:sz w:val="20"/>
              </w:rPr>
              <w:t>Gesamtschätzung</w:t>
            </w:r>
          </w:p>
        </w:tc>
        <w:tc>
          <w:tcPr>
            <w:tcW w:type="dxa" w:w="4536"/>
          </w:tcPr>
          <w:p>
            <w:r>
              <w:rPr>
                <w:rFonts w:ascii="Times New Roman" w:hAnsi="Times New Roman"/>
                <w:b/>
                <w:sz w:val="20"/>
              </w:rPr>
              <w:t>13.932.000</w:t>
            </w:r>
          </w:p>
        </w:tc>
      </w:tr>
    </w:tbl>
    <w:p>
      <w:pPr>
        <w:jc w:val="left"/>
      </w:pPr>
      <w:r>
        <w:rPr>
          <w:b/>
        </w:rPr>
        <w:t>Kritischer Hinweis:</w:t>
      </w:r>
      <w:r>
        <w:t xml:space="preserve"> Die Gesamtkosten übersteigen den Jahresumsatz von Frischwind (22 Mio. EUR) erheblich. Der Mandant hat bereits Gespräche mit der Hausbank (Commerzbank Erfurt) über eine Kreditlinie aufgenommen. Die wirtschaftliche Überlebensfähigkeit des Unternehmens ist gefährdet.</w:t>
      </w:r>
    </w:p>
    <w:p/>
    <w:p>
      <w:pPr>
        <w:pStyle w:val="Heading2"/>
      </w:pPr>
      <w:r>
        <w:rPr>
          <w:rFonts w:ascii="Times New Roman" w:hAnsi="Times New Roman"/>
        </w:rPr>
        <w:t>5. Rechtliche Aspekte des Rückrufs</w:t>
      </w:r>
    </w:p>
    <w:p>
      <w:pPr>
        <w:pStyle w:val="ListBullet"/>
      </w:pPr>
      <w:r>
        <w:rPr>
          <w:b/>
        </w:rPr>
        <w:t>§ 26 Abs. 1 ProdSG:</w:t>
      </w:r>
      <w:r>
        <w:t xml:space="preserve"> Pflicht zur Rücknahme/Rückruf bei ernstem Risiko.</w:t>
      </w:r>
    </w:p>
    <w:p>
      <w:pPr>
        <w:pStyle w:val="ListBullet"/>
      </w:pPr>
      <w:r>
        <w:rPr>
          <w:b/>
        </w:rPr>
        <w:t>Haftung für Rückrufkosten:</w:t>
      </w:r>
      <w:r>
        <w:t xml:space="preserve"> Nach § 18 ProdHaftG i.V.m. BGH-Rspr. (BGH VI ZR 158/93): Kosten des Rückrufs trägt grundsätzlich der Hersteller; Regress gegen ChinaTech prüfenswert.</w:t>
      </w:r>
    </w:p>
    <w:p>
      <w:pPr>
        <w:pStyle w:val="ListBullet"/>
      </w:pPr>
      <w:r>
        <w:rPr>
          <w:b/>
        </w:rPr>
        <w:t>Händlervergütung:</w:t>
      </w:r>
      <w:r>
        <w:t xml:space="preserve"> Händler sind für Rückruf-Dienstleistungen (Annahme, Lagerung, Protokollierung) zu vergüten; Betrag: pauschal 75 EUR/Einheit.</w:t>
      </w:r>
    </w:p>
    <w:p>
      <w:pPr>
        <w:pStyle w:val="ListBullet"/>
      </w:pPr>
      <w:r>
        <w:rPr>
          <w:b/>
        </w:rPr>
        <w:t>Steuerliche Behandlung:</w:t>
      </w:r>
      <w:r>
        <w:t xml:space="preserve"> Rückrufkosten als außerordentlicher Aufwand buchungspflichtig; steuerliche Beratung durch StB Frischwind läuft.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