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Stakeholder und Händlerkommunikation</w:t>
      </w:r>
    </w:p>
    <w:p>
      <w:pPr>
        <w:jc w:val="left"/>
      </w:pPr>
      <w:r>
        <w:rPr>
          <w:b/>
        </w:rPr>
        <w:t>Dokument-Typ:</w:t>
      </w:r>
      <w:r>
        <w:t xml:space="preserve"> Kommunikationsstrategie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/>
    <w:p>
      <w:pPr>
        <w:pStyle w:val="Heading2"/>
      </w:pPr>
      <w:r>
        <w:rPr>
          <w:rFonts w:ascii="Times New Roman" w:hAnsi="Times New Roman"/>
        </w:rPr>
        <w:t>1. Stakeholder-Map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Stakeholder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Interesse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Kommunikationskanal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BNetzA Marktüberwachung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Compliance, RAPEX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 (RA Roosendaal)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Staatsanwaltschaft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Strafverfahren CTO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 (Strafverteidiger)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Strafverteidigerin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 Produkthaftpflicht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Deckungsfrage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Schadensanzeige, Folgekommunikation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 + GF Frischwind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ChinaTech ShenZhen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Regress, Liefervertrag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 in Englisch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 + CTO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Händler (48)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Rückruf, Entschädigung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Händlerportal, Telefon-Hotline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Lattermann + Qualität Gäbler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Endkunden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Rückgabe, Erstattung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E-Mail, Post, Hotline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Lattermann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Medien/Presse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Information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Presseerklärung, kein Dialog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Frischwind (Text: PR-Agentur)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Bogdan Raskolnikow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Schadensersatz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Blickle (Berlin)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Roosendaal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TÜV Rheinland (NB 0035)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Neuzertifizierung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Direkte Kontaktaufnahme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Pohlmann-Wittfeldt + RA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Commerzbank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Kreditlinie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Frischwind direkt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Frischwind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Händlerkommunikation im Detail</w:t>
      </w:r>
    </w:p>
    <w:p>
      <w:pPr>
        <w:jc w:val="left"/>
      </w:pPr>
      <w:r>
        <w:t>Am 05. Februar 2026 wurde das Händleranschreiben per Einschreiben/Rückschein an alle 48 Vertragshändler versandt. Inhalt:</w:t>
      </w:r>
    </w:p>
    <w:p>
      <w:pPr>
        <w:jc w:val="left"/>
      </w:pPr>
      <w:r>
        <w:rPr>
          <w:b/>
        </w:rPr>
        <w:t>Kernbotschaften:</w:t>
      </w:r>
    </w:p>
    <w:p>
      <w:pPr>
        <w:pStyle w:val="ListNumber"/>
      </w:pPr>
      <w:r>
        <w:t>Sofortiger Verkaufsstopp für alle Wind-X7-Einheiten.</w:t>
      </w:r>
    </w:p>
    <w:p>
      <w:pPr>
        <w:pStyle w:val="ListNumber"/>
      </w:pPr>
      <w:r>
        <w:t>Alle lagernden Einheiten sind zu sichern und zu etikettieren (Rückruf-Aufkleber beigelegt).</w:t>
      </w:r>
    </w:p>
    <w:p>
      <w:pPr>
        <w:pStyle w:val="ListNumber"/>
      </w:pPr>
      <w:r>
        <w:t>Kundenrückgaben sind anzunehmen und zu protokollieren (Protokollformular beigefügt).</w:t>
      </w:r>
    </w:p>
    <w:p>
      <w:pPr>
        <w:pStyle w:val="ListNumber"/>
      </w:pPr>
      <w:r>
        <w:t>Händler werden für Rückruf-Aufwand pauschal entschädigt (75 EUR/protokollierte Einheit + Logistikkosten).</w:t>
      </w:r>
    </w:p>
    <w:p>
      <w:pPr>
        <w:pStyle w:val="ListNumber"/>
      </w:pPr>
      <w:r>
        <w:t>Hotline: 0800-FRISCHWIND (kostenfrei, Mo–Fr 08–18 Uhr).</w:t>
      </w:r>
    </w:p>
    <w:p>
      <w:pPr>
        <w:jc w:val="left"/>
      </w:pPr>
      <w:r>
        <w:rPr>
          <w:b/>
        </w:rPr>
        <w:t>Reaktionen bis 20.02.2026:</w:t>
      </w:r>
    </w:p>
    <w:p>
      <w:pPr>
        <w:pStyle w:val="ListBullet"/>
      </w:pPr>
      <w:r>
        <w:t>45 von 48 Händlern haben Eingang bestätigt.</w:t>
      </w:r>
    </w:p>
    <w:p>
      <w:pPr>
        <w:pStyle w:val="ListBullet"/>
      </w:pPr>
      <w:r>
        <w:t>3 Händler ohne Reaktion (Fristsetzung 27.02.2026).</w:t>
      </w:r>
    </w:p>
    <w:p>
      <w:pPr>
        <w:pStyle w:val="ListBullet"/>
      </w:pPr>
      <w:r>
        <w:t>Bislang 1.847 Einheiten protokolliert zurückgenommen (44 % der angestrebten Rücklaufquote).</w:t>
      </w:r>
    </w:p>
    <w:p/>
    <w:p>
      <w:pPr>
        <w:pStyle w:val="Heading2"/>
      </w:pPr>
      <w:r>
        <w:rPr>
          <w:rFonts w:ascii="Times New Roman" w:hAnsi="Times New Roman"/>
        </w:rPr>
        <w:t>3. Endkundenkommunikation</w:t>
      </w:r>
    </w:p>
    <w:p>
      <w:pPr>
        <w:jc w:val="left"/>
      </w:pPr>
      <w:r>
        <w:rPr>
          <w:b/>
        </w:rPr>
        <w:t>E-Mail-Kampagne:</w:t>
      </w:r>
      <w:r>
        <w:t xml:space="preserve"> Am 10.02.2026 wurden 3.408 registrierte Kunden per E-Mail informiert (Betreff: „Wichtiger Sicherheitshinweis: Rückruf Ihres Wind-X7"). Öffnungsrate: 71 %; Klickrate auf Rückruf-Formular: 38 %.</w:t>
      </w:r>
    </w:p>
    <w:p>
      <w:pPr>
        <w:jc w:val="left"/>
      </w:pPr>
      <w:r>
        <w:rPr>
          <w:b/>
        </w:rPr>
        <w:t>Postmailing:</w:t>
      </w:r>
      <w:r>
        <w:t xml:space="preserve"> Am 15.02.2026 wurden 800 zusätzliche Postkarten versendet (für Kunden ohne E-Mail-Adresse oder ohne Reaktion auf E-Mail).</w:t>
      </w:r>
    </w:p>
    <w:p>
      <w:pPr>
        <w:jc w:val="left"/>
      </w:pPr>
      <w:r>
        <w:rPr>
          <w:b/>
        </w:rPr>
        <w:t>Hotline-Statistik (bis 20.02.2026):</w:t>
      </w:r>
    </w:p>
    <w:p>
      <w:pPr>
        <w:pStyle w:val="ListBullet"/>
      </w:pPr>
      <w:r>
        <w:t>Anrufe gesamt: 2.341</w:t>
      </w:r>
    </w:p>
    <w:p>
      <w:pPr>
        <w:pStyle w:val="ListBullet"/>
      </w:pPr>
      <w:r>
        <w:t>Davon Rückgabe-Anfragen: 1.614</w:t>
      </w:r>
    </w:p>
    <w:p>
      <w:pPr>
        <w:pStyle w:val="ListBullet"/>
      </w:pPr>
      <w:r>
        <w:t>Kundenzufriedenheit (Kurzumfrage nach Anruf): 3,2/5 — verbesserungsbedürftig, Wartezeit kritisiert.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