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Schmerzensgeldforderung Raskolnikow — ProdHaftG und BGH-Rechtsprechung</w:t>
      </w:r>
    </w:p>
    <w:p>
      <w:pPr>
        <w:jc w:val="left"/>
      </w:pPr>
      <w:r>
        <w:rPr>
          <w:b/>
        </w:rPr>
        <w:t>Dokument-Typ:</w:t>
      </w:r>
      <w:r>
        <w:t xml:space="preserve"> Schriftsatz-Vorbereitung / Rechtliche Analyse</w:t>
      </w:r>
    </w:p>
    <w:p>
      <w:pPr>
        <w:jc w:val="left"/>
      </w:pPr>
      <w:r>
        <w:rPr>
          <w:b/>
        </w:rPr>
        <w:t>AZ Kanzlei:</w:t>
      </w:r>
      <w:r>
        <w:t xml:space="preserve"> MR-2026-0822</w:t>
      </w:r>
    </w:p>
    <w:p>
      <w:pPr>
        <w:jc w:val="left"/>
      </w:pPr>
      <w:r>
        <w:rPr>
          <w:b/>
        </w:rPr>
        <w:t>Gegner-AZ:</w:t>
      </w:r>
      <w:r>
        <w:t xml:space="preserve"> RA Blickle, Berlin (für Raskolnikow)</w:t>
      </w:r>
    </w:p>
    <w:p>
      <w:pPr>
        <w:jc w:val="left"/>
      </w:pPr>
      <w:r>
        <w:rPr>
          <w:b/>
        </w:rPr>
        <w:t>Streitwert:</w:t>
      </w:r>
      <w:r>
        <w:t xml:space="preserve"> 280.000 EUR</w:t>
      </w:r>
    </w:p>
    <w:p/>
    <w:p>
      <w:pPr>
        <w:pStyle w:val="Heading2"/>
      </w:pPr>
      <w:r>
        <w:rPr>
          <w:rFonts w:ascii="Times New Roman" w:hAnsi="Times New Roman"/>
        </w:rPr>
        <w:t>1. Forderungsaufstellung Raskolnikow</w:t>
      </w:r>
    </w:p>
    <w:p>
      <w:pPr>
        <w:jc w:val="left"/>
      </w:pPr>
      <w:r>
        <w:t>Mit Anwaltsschreiben vom 10.01.2026 macht RA Blickle folgende Ansprüche geltend (vgl. auch Aktenstück 04):</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Betrag (EUR)</w:t>
            </w:r>
          </w:p>
        </w:tc>
        <w:tc>
          <w:tcPr>
            <w:tcW w:type="dxa" w:w="3024"/>
          </w:tcPr>
          <w:p>
            <w:r>
              <w:rPr>
                <w:rFonts w:ascii="Times New Roman" w:hAnsi="Times New Roman"/>
                <w:b/>
                <w:sz w:val="20"/>
              </w:rPr>
              <w:t>Rechtsgrundlage</w:t>
            </w:r>
          </w:p>
        </w:tc>
      </w:tr>
      <w:tr>
        <w:tc>
          <w:tcPr>
            <w:tcW w:type="dxa" w:w="3024"/>
          </w:tcPr>
          <w:p>
            <w:r>
              <w:rPr>
                <w:rFonts w:ascii="Times New Roman" w:hAnsi="Times New Roman"/>
                <w:sz w:val="20"/>
              </w:rPr>
              <w:t>Schmerzensgeld</w:t>
            </w:r>
          </w:p>
        </w:tc>
        <w:tc>
          <w:tcPr>
            <w:tcW w:type="dxa" w:w="3024"/>
          </w:tcPr>
          <w:p>
            <w:r>
              <w:rPr>
                <w:rFonts w:ascii="Times New Roman" w:hAnsi="Times New Roman"/>
                <w:sz w:val="20"/>
              </w:rPr>
              <w:t>180.000</w:t>
            </w:r>
          </w:p>
        </w:tc>
        <w:tc>
          <w:tcPr>
            <w:tcW w:type="dxa" w:w="3024"/>
          </w:tcPr>
          <w:p>
            <w:r>
              <w:rPr>
                <w:rFonts w:ascii="Times New Roman" w:hAnsi="Times New Roman"/>
                <w:sz w:val="20"/>
              </w:rPr>
              <w:t>§ 11 ProdHaftG, § 253 BGB</w:t>
            </w:r>
          </w:p>
        </w:tc>
      </w:tr>
      <w:tr>
        <w:tc>
          <w:tcPr>
            <w:tcW w:type="dxa" w:w="3024"/>
          </w:tcPr>
          <w:p>
            <w:r>
              <w:rPr>
                <w:rFonts w:ascii="Times New Roman" w:hAnsi="Times New Roman"/>
                <w:sz w:val="20"/>
              </w:rPr>
              <w:t>Erwerbsausfall (3 Monate à 4.800 EUR)</w:t>
            </w:r>
          </w:p>
        </w:tc>
        <w:tc>
          <w:tcPr>
            <w:tcW w:type="dxa" w:w="3024"/>
          </w:tcPr>
          <w:p>
            <w:r>
              <w:rPr>
                <w:rFonts w:ascii="Times New Roman" w:hAnsi="Times New Roman"/>
                <w:sz w:val="20"/>
              </w:rPr>
              <w:t>14.400</w:t>
            </w:r>
          </w:p>
        </w:tc>
        <w:tc>
          <w:tcPr>
            <w:tcW w:type="dxa" w:w="3024"/>
          </w:tcPr>
          <w:p>
            <w:r>
              <w:rPr>
                <w:rFonts w:ascii="Times New Roman" w:hAnsi="Times New Roman"/>
                <w:sz w:val="20"/>
              </w:rPr>
              <w:t>§ 7 ProdHaftG, § 842 BGB</w:t>
            </w:r>
          </w:p>
        </w:tc>
      </w:tr>
      <w:tr>
        <w:tc>
          <w:tcPr>
            <w:tcW w:type="dxa" w:w="3024"/>
          </w:tcPr>
          <w:p>
            <w:r>
              <w:rPr>
                <w:rFonts w:ascii="Times New Roman" w:hAnsi="Times New Roman"/>
                <w:sz w:val="20"/>
              </w:rPr>
              <w:t>Hausratsersatz</w:t>
            </w:r>
          </w:p>
        </w:tc>
        <w:tc>
          <w:tcPr>
            <w:tcW w:type="dxa" w:w="3024"/>
          </w:tcPr>
          <w:p>
            <w:r>
              <w:rPr>
                <w:rFonts w:ascii="Times New Roman" w:hAnsi="Times New Roman"/>
                <w:sz w:val="20"/>
              </w:rPr>
              <w:t>38.500</w:t>
            </w:r>
          </w:p>
        </w:tc>
        <w:tc>
          <w:tcPr>
            <w:tcW w:type="dxa" w:w="3024"/>
          </w:tcPr>
          <w:p>
            <w:r>
              <w:rPr>
                <w:rFonts w:ascii="Times New Roman" w:hAnsi="Times New Roman"/>
                <w:sz w:val="20"/>
              </w:rPr>
              <w:t>§ 7 ProdHaftG</w:t>
            </w:r>
          </w:p>
        </w:tc>
      </w:tr>
      <w:tr>
        <w:tc>
          <w:tcPr>
            <w:tcW w:type="dxa" w:w="3024"/>
          </w:tcPr>
          <w:p>
            <w:r>
              <w:rPr>
                <w:rFonts w:ascii="Times New Roman" w:hAnsi="Times New Roman"/>
                <w:sz w:val="20"/>
              </w:rPr>
              <w:t>Künftige Heilbehandlungskosten Asthma</w:t>
            </w:r>
          </w:p>
        </w:tc>
        <w:tc>
          <w:tcPr>
            <w:tcW w:type="dxa" w:w="3024"/>
          </w:tcPr>
          <w:p>
            <w:r>
              <w:rPr>
                <w:rFonts w:ascii="Times New Roman" w:hAnsi="Times New Roman"/>
                <w:sz w:val="20"/>
              </w:rPr>
              <w:t>47.100</w:t>
            </w:r>
          </w:p>
        </w:tc>
        <w:tc>
          <w:tcPr>
            <w:tcW w:type="dxa" w:w="3024"/>
          </w:tcPr>
          <w:p>
            <w:r>
              <w:rPr>
                <w:rFonts w:ascii="Times New Roman" w:hAnsi="Times New Roman"/>
                <w:sz w:val="20"/>
              </w:rPr>
              <w:t>§ 8 ProdHaftG</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280.000</w:t>
            </w:r>
          </w:p>
        </w:tc>
        <w:tc>
          <w:tcPr>
            <w:tcW w:type="dxa" w:w="3024"/>
          </w:tcPr>
          <w:p/>
        </w:tc>
      </w:tr>
    </w:tbl>
    <w:p/>
    <w:p>
      <w:pPr>
        <w:pStyle w:val="Heading2"/>
      </w:pPr>
      <w:r>
        <w:rPr>
          <w:rFonts w:ascii="Times New Roman" w:hAnsi="Times New Roman"/>
        </w:rPr>
        <w:t>2. Haftungsgrundlage ProdHaftG</w:t>
      </w:r>
    </w:p>
    <w:p>
      <w:pPr>
        <w:pStyle w:val="Heading3"/>
      </w:pPr>
      <w:r>
        <w:rPr>
          <w:rFonts w:ascii="Times New Roman" w:hAnsi="Times New Roman"/>
        </w:rPr>
        <w:t>Voraussetzungen § 1 ProdHaftG</w:t>
      </w:r>
    </w:p>
    <w:p>
      <w:pPr>
        <w:jc w:val="left"/>
      </w:pPr>
      <w:r>
        <w:rPr>
          <w:b/>
        </w:rPr>
        <w:t>Hersteller:</w:t>
      </w:r>
      <w:r>
        <w:t xml:space="preserve"> Frischwind Mobility GmbH ist Hersteller i.S.d. § 4 ProdHaftG — sie bringt das Produkt unter ihrem Namen in Verkehr.</w:t>
      </w:r>
    </w:p>
    <w:p>
      <w:pPr>
        <w:jc w:val="left"/>
      </w:pPr>
      <w:r>
        <w:rPr>
          <w:b/>
        </w:rPr>
        <w:t>Produkt:</w:t>
      </w:r>
      <w:r>
        <w:t xml:space="preserve"> E-Bike Wind-X7 mit Akku CT-LI-45-X ist ein Produkt i.S.d. § 2 ProdHaftG (bewegliche Sache).</w:t>
      </w:r>
    </w:p>
    <w:p>
      <w:pPr>
        <w:jc w:val="left"/>
      </w:pPr>
      <w:r>
        <w:rPr>
          <w:b/>
        </w:rPr>
        <w:t>Fehler (§ 3 ProdHaftG):</w:t>
      </w:r>
      <w:r>
        <w:t xml:space="preserve"> Ein Produkt hat einen Fehler, wenn es nicht die Sicherheit bietet, die unter Berücksichtigung aller Umstände, insbesondere seiner Darbietung und der Darbietung des Herstellers, des Gebrauchs, mit dem billigerweise gerechnet werden kann, und des Zeitpunkts, zu dem es in Verkehr gebracht wurde, berechtigterweise erwartet werden kann. — Vorliegend: klarer Fehler durch BMS-Bug (Überladeschutz versagt).</w:t>
      </w:r>
    </w:p>
    <w:p>
      <w:pPr>
        <w:jc w:val="left"/>
      </w:pPr>
      <w:r>
        <w:rPr>
          <w:b/>
        </w:rPr>
        <w:t>Schaden (§ 7, § 8, § 11 ProdHaftG):</w:t>
      </w:r>
      <w:r>
        <w:t xml:space="preserve"> Personenschaden (Rauchgasvergiftung, Asthmafolge) und Sachschaden (Hausrat, Wohnungsbrand) sind kausal auf den Fehler zurückzuführen.</w:t>
      </w:r>
    </w:p>
    <w:p/>
    <w:p>
      <w:pPr>
        <w:pStyle w:val="Heading2"/>
      </w:pPr>
      <w:r>
        <w:rPr>
          <w:rFonts w:ascii="Times New Roman" w:hAnsi="Times New Roman"/>
        </w:rPr>
        <w:t>3. BGH-Rechtsprechung zur Produkthaftung</w:t>
      </w:r>
    </w:p>
    <w:p>
      <w:pPr>
        <w:jc w:val="left"/>
      </w:pPr>
      <w:r>
        <w:t>Die BGH-Rechtsprechung zur Produzentenhaftung (zivilrechtlich sowohl unter ProdHaftG als auch § 823 BGB) ist für die Fallbewertung maßgeblich:</w:t>
      </w:r>
    </w:p>
    <w:p>
      <w:pPr>
        <w:jc w:val="left"/>
      </w:pPr>
      <w:r>
        <w:rPr>
          <w:b/>
        </w:rPr>
        <w:t>BGH VI ZR 158/93 (Hühnerpest-Entscheidung — Grundsatz):</w:t>
      </w:r>
      <w:r>
        <w:t xml:space="preserve"> Hersteller trifft bei Vorliegen eines Fabrikationsfehlers eine Beweislastumkehr; er muss darlegen, dass das konkrete Produkt fehlerfrei war. Auf den vorliegenden Fall übertragen: Frischwind muss darlegen, dass gerade das Exemplar Raskolnikows keinen BMS-Bug aufwies — was angesichts des Sachverständigengutachtens ausgeschlossen erscheint.</w:t>
      </w:r>
    </w:p>
    <w:p>
      <w:pPr>
        <w:jc w:val="left"/>
      </w:pPr>
      <w:r>
        <w:rPr>
          <w:b/>
        </w:rPr>
        <w:t>BGH VI ZR 223/05 (Airbag-Entscheidung):</w:t>
      </w:r>
      <w:r>
        <w:t xml:space="preserve"> Beim Serienfehler entfällt für den Kläger der Nachweis, dass das konkrete Exemplar fehlerbehaftet ist; ausreichend ist der Nachweis, dass alle oder die meisten Exemplare dieser Serie den Fehler aufweisen. Hier: alle 4.200 Einheiten haben dieselbe BMS-Firmware V3.9.1 → Serienfehlervermutung.</w:t>
      </w:r>
    </w:p>
    <w:p/>
    <w:p>
      <w:pPr>
        <w:pStyle w:val="Heading2"/>
      </w:pPr>
      <w:r>
        <w:rPr>
          <w:rFonts w:ascii="Times New Roman" w:hAnsi="Times New Roman"/>
        </w:rPr>
        <w:t>4. Verteidigungsstrategie Frischwind</w:t>
      </w:r>
    </w:p>
    <w:p>
      <w:pPr>
        <w:pStyle w:val="ListNumber"/>
      </w:pPr>
      <w:r>
        <w:rPr>
          <w:b/>
        </w:rPr>
        <w:t>Mitverschulden:</w:t>
      </w:r>
      <w:r>
        <w:t xml:space="preserve"> Kein erkennbares Mitverschulden (reguläre Nutzung, Originalladegerät). Argumentation wird schwierig.</w:t>
      </w:r>
    </w:p>
    <w:p>
      <w:pPr>
        <w:pStyle w:val="ListNumber"/>
      </w:pPr>
      <w:r>
        <w:rPr>
          <w:b/>
        </w:rPr>
        <w:t>Kausalitätsangriff:</w:t>
      </w:r>
      <w:r>
        <w:t xml:space="preserve"> Prüfen, ob Vorerkrankungen Raskolnikows den Krankheitsverlauf beeinflusst haben (Atopie, Raucher-Lunge). Medizinisches Sachverständigengutachten zur Kausalität anfordern.</w:t>
      </w:r>
    </w:p>
    <w:p>
      <w:pPr>
        <w:pStyle w:val="ListNumber"/>
      </w:pPr>
      <w:r>
        <w:rPr>
          <w:b/>
        </w:rPr>
        <w:t>Schmerzensgeld-Höhe:</w:t>
      </w:r>
      <w:r>
        <w:t xml:space="preserve"> 180.000 EUR erscheint hoch für 12 Tage stationär + Folge-Asthma. Vergleichsrechtsprechung: BGH-Urteile zu Rauchgasvergiftungen im Bereich 40.000–100.000 EUR. Gegenantrag: max. 80.000 EUR Schmerzensgeld.</w:t>
      </w:r>
    </w:p>
    <w:p>
      <w:pPr>
        <w:pStyle w:val="ListNumber"/>
      </w:pPr>
      <w:r>
        <w:rPr>
          <w:b/>
        </w:rPr>
        <w:t>Regressanspruch gegen ChinaTech:</w:t>
      </w:r>
      <w:r>
        <w:t xml:space="preserve"> Intern parallel betreiben; reduziert Netto-Schaden für Frischwind.</w:t>
      </w:r>
    </w:p>
    <w:p>
      <w:pPr>
        <w:pStyle w:val="ListNumber"/>
      </w:pPr>
      <w:r>
        <w:rPr>
          <w:b/>
        </w:rPr>
        <w:t>Vergleichspotenzial:</w:t>
      </w:r>
      <w:r>
        <w:t xml:space="preserve"> Raskolnikow hat wirtschaftliches Interesse an schneller Einigung (Behandlungskosten laufen). Vergleichsrahmen: 140.000–175.000 EUR.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