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Technisches Redesign BMS-Firmware V4.3 — Freigabe-Roadmap</w:t>
      </w:r>
    </w:p>
    <w:p>
      <w:pPr>
        <w:jc w:val="left"/>
      </w:pPr>
      <w:r>
        <w:rPr>
          <w:b/>
        </w:rPr>
        <w:t>Dokument-Typ:</w:t>
      </w:r>
      <w:r>
        <w:t xml:space="preserve"> Technisches Strategiepapier</w:t>
      </w:r>
    </w:p>
    <w:p>
      <w:pPr>
        <w:jc w:val="left"/>
      </w:pPr>
      <w:r>
        <w:rPr>
          <w:b/>
        </w:rPr>
        <w:t>AZ Kanzlei:</w:t>
      </w:r>
      <w:r>
        <w:t xml:space="preserve"> MR-2026-0822</w:t>
      </w:r>
    </w:p>
    <w:p>
      <w:pPr>
        <w:jc w:val="left"/>
      </w:pPr>
      <w:r>
        <w:rPr>
          <w:b/>
        </w:rPr>
        <w:t>Technische Verantwortung:</w:t>
      </w:r>
      <w:r>
        <w:t xml:space="preserve"> CTO Dr. Ilse Pohlmann-Wittfeldt / externer Berater: Dipl.-Ing. Klaus Nähring, FH Erfurt</w:t>
      </w:r>
    </w:p>
    <w:p/>
    <w:p>
      <w:pPr>
        <w:pStyle w:val="Heading2"/>
      </w:pPr>
      <w:r>
        <w:rPr>
          <w:rFonts w:ascii="Times New Roman" w:hAnsi="Times New Roman"/>
        </w:rPr>
        <w:t>1. Zielsetzung des Redesigns</w:t>
      </w:r>
    </w:p>
    <w:p>
      <w:pPr>
        <w:jc w:val="left"/>
      </w:pPr>
      <w:r>
        <w:t>Das technische Redesign des BMS-Systems verfolgt drei Ziele:</w:t>
      </w:r>
    </w:p>
    <w:p>
      <w:pPr>
        <w:pStyle w:val="ListNumber"/>
      </w:pPr>
      <w:r>
        <w:t>Behebung des kritischen Firmware-Bugs (Integer-Overflow im Temperatur-Interrupt-Handler)</w:t>
      </w:r>
    </w:p>
    <w:p>
      <w:pPr>
        <w:pStyle w:val="ListNumber"/>
      </w:pPr>
      <w:r>
        <w:t>Anpassung des BMS an die tatsächlich verwendeten NMC-622-Zellen (statt LiFePO4)</w:t>
      </w:r>
    </w:p>
    <w:p>
      <w:pPr>
        <w:pStyle w:val="ListNumber"/>
      </w:pPr>
      <w:r>
        <w:t>Vorbereitung einer erneuten CE-Konformitätsbewertung für den Neumarktstart mit Wind-X8</w:t>
      </w:r>
    </w:p>
    <w:p/>
    <w:p>
      <w:pPr>
        <w:pStyle w:val="Heading2"/>
      </w:pPr>
      <w:r>
        <w:rPr>
          <w:rFonts w:ascii="Times New Roman" w:hAnsi="Times New Roman"/>
        </w:rPr>
        <w:t>2. Firmware V4.3 — Technische Änderungen</w:t>
      </w:r>
    </w:p>
    <w:p>
      <w:pPr>
        <w:pStyle w:val="Heading3"/>
      </w:pPr>
      <w:r>
        <w:rPr>
          <w:rFonts w:ascii="Times New Roman" w:hAnsi="Times New Roman"/>
        </w:rPr>
        <w:t>2.1 Bug-Fix Temperatur-Interrupt-Handler</w:t>
      </w:r>
    </w:p>
    <w:p>
      <w:pPr>
        <w:jc w:val="left"/>
      </w:pPr>
      <w:r>
        <w:t>```c</w:t>
      </w:r>
    </w:p>
    <w:p>
      <w:pPr>
        <w:jc w:val="left"/>
      </w:pPr>
      <w:r>
        <w:t>// Firmware V4.3 — Korrigierter Temperatur-Interrupt-Handler</w:t>
      </w:r>
    </w:p>
    <w:p>
      <w:pPr>
        <w:jc w:val="left"/>
      </w:pPr>
      <w:r>
        <w:t>void TEMP_IRQ_Handler(void) {</w:t>
      </w:r>
    </w:p>
    <w:p>
      <w:pPr>
        <w:jc w:val="left"/>
      </w:pPr>
      <w:r>
        <w:t>// Explizite Typcastung vermeidet Integer-Overflow</w:t>
      </w:r>
    </w:p>
    <w:p>
      <w:pPr>
        <w:jc w:val="left"/>
      </w:pPr>
      <w:r>
        <w:t>uint32_t temp_raw = (uint32_t)temp_sensor_raw;</w:t>
      </w:r>
    </w:p>
    <w:p>
      <w:pPr>
        <w:jc w:val="left"/>
      </w:pPr>
      <w:r>
        <w:t>uint32_t threshold = (uint32_t)TEMP_THRESHOLD_BASE</w:t>
      </w:r>
    </w:p>
    <w:p>
      <w:pPr>
        <w:pStyle w:val="ListBullet"/>
      </w:pPr>
      <w:r>
        <w:t>(uint32_t)temp_compensation_factor;</w:t>
      </w:r>
    </w:p>
    <w:p>
      <w:pPr>
        <w:jc w:val="left"/>
      </w:pPr>
      <w:r>
        <w:t>// Overflow-Schutz: threshold niemals &gt; TEMP_THRESHOLD_MAX</w:t>
      </w:r>
    </w:p>
    <w:p>
      <w:pPr>
        <w:jc w:val="left"/>
      </w:pPr>
      <w:r>
        <w:t>if (threshold &gt; TEMP_THRESHOLD_MAX) {</w:t>
      </w:r>
    </w:p>
    <w:p>
      <w:pPr>
        <w:jc w:val="left"/>
      </w:pPr>
      <w:r>
        <w:t>threshold = TEMP_THRESHOLD_MAX;</w:t>
      </w:r>
    </w:p>
    <w:p>
      <w:pPr>
        <w:jc w:val="left"/>
      </w:pPr>
      <w:r>
        <w:t>}</w:t>
      </w:r>
    </w:p>
    <w:p>
      <w:pPr>
        <w:jc w:val="left"/>
      </w:pPr>
      <w:r>
        <w:t>if (temp_raw &gt; threshold) {</w:t>
      </w:r>
    </w:p>
    <w:p>
      <w:pPr>
        <w:jc w:val="left"/>
      </w:pPr>
      <w:r>
        <w:t>charge_enable = 0;</w:t>
      </w:r>
    </w:p>
    <w:p>
      <w:pPr>
        <w:jc w:val="left"/>
      </w:pPr>
      <w:r>
        <w:t>overheat_flag = 1;</w:t>
      </w:r>
    </w:p>
    <w:p>
      <w:pPr>
        <w:jc w:val="left"/>
      </w:pPr>
      <w:r>
        <w:t>trigger_emergency_shutdown();</w:t>
      </w:r>
    </w:p>
    <w:p>
      <w:pPr>
        <w:jc w:val="left"/>
      </w:pPr>
      <w:r>
        <w:t>}</w:t>
      </w:r>
    </w:p>
    <w:p>
      <w:pPr>
        <w:jc w:val="left"/>
      </w:pPr>
      <w:r>
        <w:t>}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2.2 NMC-622-Anpassungen</w:t>
      </w:r>
    </w:p>
    <w:p>
      <w:pPr>
        <w:pStyle w:val="ListBullet"/>
      </w:pPr>
      <w:r>
        <w:t>Maximale Ladespannung: von 4,20 V/Zelle auf 4,15 V/Zelle reduziert (Sicherheitspuffer für NMC-622)</w:t>
      </w:r>
    </w:p>
    <w:p>
      <w:pPr>
        <w:pStyle w:val="ListBullet"/>
      </w:pPr>
      <w:r>
        <w:t>Thermischer Abschaltpunkt: von 68 °C auf 55 °C Zelltemperatur gesenkt (NMC-622-spezifisch)</w:t>
      </w:r>
    </w:p>
    <w:p>
      <w:pPr>
        <w:pStyle w:val="ListBullet"/>
      </w:pPr>
      <w:r>
        <w:t>Temperaturkompensation: Neue Kennlinie für NMC-622-Wärmekoeffizienten hinterlegt</w:t>
      </w:r>
    </w:p>
    <w:p>
      <w:pPr>
        <w:pStyle w:val="Heading3"/>
      </w:pPr>
      <w:r>
        <w:rPr>
          <w:rFonts w:ascii="Times New Roman" w:hAnsi="Times New Roman"/>
        </w:rPr>
        <w:t>2.3 Zusätzliche Sicherheitsfunktionen</w:t>
      </w:r>
    </w:p>
    <w:p>
      <w:pPr>
        <w:pStyle w:val="ListBullet"/>
      </w:pPr>
      <w:r>
        <w:t>Watchdog-Timer: Unabhängiger Hardware-Watchdog überwacht BMS-Hauptschleife (neu)</w:t>
      </w:r>
    </w:p>
    <w:p>
      <w:pPr>
        <w:pStyle w:val="ListBullet"/>
      </w:pPr>
      <w:r>
        <w:t>Redundante Temperatursensoren: Zwei statt einem Sensor; bei Sensorausfall → Abschaltung (neu)</w:t>
      </w:r>
    </w:p>
    <w:p>
      <w:pPr>
        <w:pStyle w:val="ListBullet"/>
      </w:pPr>
      <w:r>
        <w:t>Ladestrom-Begrenzung bei Umgebungstemperatur &gt; 30 °C: automatisch auf 2 A reduziert (neu)</w:t>
      </w:r>
    </w:p>
    <w:p>
      <w:pPr>
        <w:pStyle w:val="ListBullet"/>
      </w:pPr>
      <w:r>
        <w:t>Over-the-Air-Firmware-Update: Ermöglicht zukünftige Bug-Fixes ohne physischen Serviceeinsatz (neu)</w:t>
      </w:r>
    </w:p>
    <w:p/>
    <w:p>
      <w:pPr>
        <w:pStyle w:val="Heading2"/>
      </w:pPr>
      <w:r>
        <w:rPr>
          <w:rFonts w:ascii="Times New Roman" w:hAnsi="Times New Roman"/>
        </w:rPr>
        <w:t>3. Freigabe-Roadmap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Firmware V4.3 Entwicklungsabschluss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 Februar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Unit-Tests (MISRA C)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 März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Externe Firmware-Verifikation (TÜV Rheinland)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 März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Arbeit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Zellanalyse und Charakterisierung NMC-622 (Prof. Schellberg)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 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Baumusterprüfung Wind-X8 (neue Konformitätsbewertung, NB 0035)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 Juni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CE-Konformitätserklärung Wind-X8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 Juli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Produktionsbeginn Wind-X8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Markteinführung Wind-X8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Rechtliche Voraussetzungen für Marktreintritt</w:t>
      </w:r>
    </w:p>
    <w:p>
      <w:pPr>
        <w:pStyle w:val="ListBullet"/>
      </w:pPr>
      <w:r>
        <w:t>Vollständige neue Baumusterprüfung durch TÜV Rheinland (NB 0035).</w:t>
      </w:r>
    </w:p>
    <w:p>
      <w:pPr>
        <w:pStyle w:val="ListBullet"/>
      </w:pPr>
      <w:r>
        <w:t>Neue Konformitätserklärung auf Basis NMC-622-Zellen und Firmware V4.3.</w:t>
      </w:r>
    </w:p>
    <w:p>
      <w:pPr>
        <w:pStyle w:val="ListBullet"/>
      </w:pPr>
      <w:r>
        <w:t>BNetzA-Information über neues Produkt und Abgrenzung zum Rückruf-Produkt.</w:t>
      </w:r>
    </w:p>
    <w:p>
      <w:pPr>
        <w:pStyle w:val="ListBullet"/>
      </w:pPr>
      <w:r>
        <w:t>Neue Betriebsanleitung mit expliziten Temperaturwarnungen und Ladehinweisen.</w:t>
      </w:r>
    </w:p>
    <w:p>
      <w:pPr>
        <w:pStyle w:val="ListBullet"/>
      </w:pPr>
      <w:r>
        <w:t>Liefervertrag mit ChinaTech: ausdrückliche Vereinbarung der Zellchemie NMC-622 (Änderungsvertrag).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