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Abschlussvermerk Rechtsanwalt — Gesamtstrategie und Mandatsbilanz</w:t>
      </w:r>
    </w:p>
    <w:p>
      <w:pPr>
        <w:jc w:val="left"/>
      </w:pPr>
      <w:r>
        <w:rPr>
          <w:b/>
        </w:rPr>
        <w:t>Dokument-Typ:</w:t>
      </w:r>
      <w:r>
        <w:t xml:space="preserve"> Interner Abschlussvermerk</w:t>
      </w:r>
    </w:p>
    <w:p>
      <w:pPr>
        <w:jc w:val="left"/>
      </w:pPr>
      <w:r>
        <w:rPr>
          <w:b/>
        </w:rPr>
        <w:t>AZ Kanzlei:</w:t>
      </w:r>
      <w:r>
        <w:t xml:space="preserve"> MR-2026-0822</w:t>
      </w:r>
    </w:p>
    <w:p>
      <w:pPr>
        <w:jc w:val="left"/>
      </w:pPr>
      <w:r>
        <w:rPr>
          <w:b/>
        </w:rPr>
        <w:t>Autor:</w:t>
      </w:r>
      <w:r>
        <w:t xml:space="preserve"> RA Markus Roosendaal</w:t>
      </w:r>
    </w:p>
    <w:p>
      <w:pPr>
        <w:jc w:val="left"/>
      </w:pPr>
      <w:r>
        <w:rPr>
          <w:b/>
        </w:rPr>
        <w:t>Datum:</w:t>
      </w:r>
      <w:r>
        <w:t xml:space="preserve"> 20. März 2026</w:t>
      </w:r>
    </w:p>
    <w:p/>
    <w:p>
      <w:pPr>
        <w:pStyle w:val="Heading2"/>
      </w:pPr>
      <w:r>
        <w:rPr>
          <w:rFonts w:ascii="Times New Roman" w:hAnsi="Times New Roman"/>
        </w:rPr>
        <w:t>1. Mandatsbilanz (Stand März 2026)</w:t>
      </w:r>
    </w:p>
    <w:p>
      <w:pPr>
        <w:jc w:val="left"/>
      </w:pPr>
      <w:r>
        <w:t>Das Mandat ist in allen wesentlichen Strängen aktiv. Eine abschließende Mandatsbilanz ist noch nicht möglich. Dieser Vermerk fasst den Verfahrensstand zusammen und entwickelt die Gesamtstrategie für die nächsten sechs Monate.</w:t>
      </w:r>
    </w:p>
    <w:p/>
    <w:p>
      <w:pPr>
        <w:pStyle w:val="Heading2"/>
      </w:pPr>
      <w:r>
        <w:rPr>
          <w:rFonts w:ascii="Times New Roman" w:hAnsi="Times New Roman"/>
        </w:rPr>
        <w:t>2. Status quo je Verfahrensstrang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Strang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Aktueller 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Tendenz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BNetzA / RAPEX-Meldung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Nachgereicht; Bußgeldverfahren droht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Kontrollierbar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Untersagungsverfügung TLV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Faktisch gegenstandslos; VG Weimar ausstehend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Produktrückruf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44 % Rücklaufquote; läuft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Zivilklage Raskolnikow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Klageschrift angekündigt; kein Eingang bisher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Strafverfahren CTO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Ermittlungen; § 153a Einstellung möglich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Abwarten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Allianz Deckung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Abgelehnt; Widerspruch anhängig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Unsicher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ChinaTech-Regress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Außergerichtlich; keine Einigung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Langwierig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Redesign Wind-X8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Firmware V4.3 fertig; Zertifizierung läuft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Gesamtstrategie</w:t>
      </w:r>
    </w:p>
    <w:p>
      <w:pPr>
        <w:jc w:val="left"/>
      </w:pPr>
      <w:r>
        <w:rPr>
          <w:b/>
        </w:rPr>
        <w:t>Priorität 1 — Raskolnikow-Vergleich:</w:t>
      </w:r>
    </w:p>
    <w:p>
      <w:pPr>
        <w:jc w:val="left"/>
      </w:pPr>
      <w:r>
        <w:t>Eine frühe vergleichsweise Einigung mit Herrn Raskolnikow würde:</w:t>
      </w:r>
    </w:p>
    <w:p>
      <w:pPr>
        <w:pStyle w:val="ListBullet"/>
      </w:pPr>
      <w:r>
        <w:t>Kosten der Zivilklage (Anwalts- und Gerichtskosten, Sachverständige) vermeiden</w:t>
      </w:r>
    </w:p>
    <w:p>
      <w:pPr>
        <w:pStyle w:val="ListBullet"/>
      </w:pPr>
      <w:r>
        <w:t>Das Strafverfahren entlasten (fehlender Strafantrag des Verletzten)</w:t>
      </w:r>
    </w:p>
    <w:p>
      <w:pPr>
        <w:pStyle w:val="ListBullet"/>
      </w:pPr>
      <w:r>
        <w:t>Der Allianz ein Argument für Deckung liefern (überschaubare Gesamtschäden)</w:t>
      </w:r>
    </w:p>
    <w:p>
      <w:pPr>
        <w:jc w:val="left"/>
      </w:pPr>
      <w:r>
        <w:t>Vergleichsrahmen: 140.000–175.000 EUR (Schmerzensgeld ca. 70.000–90.000 EUR, zuzüglich Sachschäden und Zukunftskosten).</w:t>
      </w:r>
    </w:p>
    <w:p>
      <w:pPr>
        <w:jc w:val="left"/>
      </w:pPr>
      <w:r>
        <w:rPr>
          <w:b/>
        </w:rPr>
        <w:t>Priorität 2 — Allianz-Deckung:</w:t>
      </w:r>
    </w:p>
    <w:p>
      <w:pPr>
        <w:jc w:val="left"/>
      </w:pPr>
      <w:r>
        <w:t>Ohne Allianz-Deckung ist Frischwind durch Rückrufkosten (ca. 13,9 Mio. EUR) und Schadensersatz wirtschaftlich ruiniert. RA Roosendaal empfiehlt:</w:t>
      </w:r>
    </w:p>
    <w:p>
      <w:pPr>
        <w:pStyle w:val="ListBullet"/>
      </w:pPr>
      <w:r>
        <w:t>Kurzfristig: Güterichterverfahren mit Allianz (§ 278a ZPO-Anlehnung).</w:t>
      </w:r>
    </w:p>
    <w:p>
      <w:pPr>
        <w:pStyle w:val="ListBullet"/>
      </w:pPr>
      <w:r>
        <w:t>Mittelfristig: Falls kein Ergebnis, Deckungsklage LG Stuttgart.</w:t>
      </w:r>
    </w:p>
    <w:p>
      <w:pPr>
        <w:pStyle w:val="ListBullet"/>
      </w:pPr>
      <w:r>
        <w:t>Intern: Prüfen, ob Versicherungsmakler (Keller GmbH) Beratungspflichtverletzung hat (§ 63 VVG) → zusätzliche Haftungsquelle.</w:t>
      </w:r>
    </w:p>
    <w:p>
      <w:pPr>
        <w:jc w:val="left"/>
      </w:pPr>
      <w:r>
        <w:rPr>
          <w:b/>
        </w:rPr>
        <w:t>Priorität 3 — Strafverfahren CTO:</w:t>
      </w:r>
    </w:p>
    <w:p>
      <w:pPr>
        <w:jc w:val="left"/>
      </w:pPr>
      <w:r>
        <w:t>§ 153a-Einstellung anstreben. Für die Auflagen kooperieren: Rückruf vollständig, Entschädigungen an Geschädigte, ggf. Geldauflage. RAin Löwenthal als Strafverteidigerin koordiniert.</w:t>
      </w:r>
    </w:p>
    <w:p>
      <w:pPr>
        <w:jc w:val="left"/>
      </w:pPr>
      <w:r>
        <w:rPr>
          <w:b/>
        </w:rPr>
        <w:t>Priorität 4 — ChinaTech-Regress:</w:t>
      </w:r>
    </w:p>
    <w:p>
      <w:pPr>
        <w:jc w:val="left"/>
      </w:pPr>
      <w:r>
        <w:t>Schriftliche Regressforderung formell stellen (Verjährungshemmung). Verhandlungen auf Grundlage des Sachverständigengutachtens. Praktisch: ChinaTech wird Minimalzahlung anbieten; weitere Verhandlungen über künftige Lieferkonditionen als Verhandlungsmasse nutzen.</w:t>
      </w:r>
    </w:p>
    <w:p/>
    <w:p>
      <w:pPr>
        <w:pStyle w:val="Heading2"/>
      </w:pPr>
      <w:r>
        <w:rPr>
          <w:rFonts w:ascii="Times New Roman" w:hAnsi="Times New Roman"/>
        </w:rPr>
        <w:t>4. Wirtschaftliche Prognose</w:t>
      </w:r>
    </w:p>
    <w:p>
      <w:pPr>
        <w:jc w:val="left"/>
      </w:pPr>
      <w:r>
        <w:t>Das Unternehmen steht vor einer existenzbedrohenden Situation:</w:t>
      </w:r>
    </w:p>
    <w:p>
      <w:pPr>
        <w:pStyle w:val="ListBullet"/>
      </w:pPr>
      <w:r>
        <w:t>Rückrufkosten ca. 13,9 Mio. EUR (Eigenanteil nach Versicherungsdeckung abhängig)</w:t>
      </w:r>
    </w:p>
    <w:p>
      <w:pPr>
        <w:pStyle w:val="ListBullet"/>
      </w:pPr>
      <w:r>
        <w:t>Schadensersatz Raskolnikow max. 280.000 EUR (vergleichsweise deutlich weniger)</w:t>
      </w:r>
    </w:p>
    <w:p>
      <w:pPr>
        <w:pStyle w:val="ListBullet"/>
      </w:pPr>
      <w:r>
        <w:t>Umsatzausfall 2026 durch Rückruf und fehlenden Neustart: geschätzt 8–10 Mio. EUR</w:t>
      </w:r>
    </w:p>
    <w:p>
      <w:pPr>
        <w:pStyle w:val="ListBullet"/>
      </w:pPr>
      <w:r>
        <w:t>Redesign-Kosten: ca. 600.000 EUR</w:t>
      </w:r>
    </w:p>
    <w:p>
      <w:pPr>
        <w:jc w:val="left"/>
      </w:pPr>
      <w:r>
        <w:t>Falls Allianz-Deckung vollständig verweigert wird und kein ChinaTech-Regress erzielt werden kann, muss ernsthaft geprüft werden, ob ein Insolvenzantrag unabwendbar ist. GF Frischwind ist hierüber intern aufgeklärt worden.</w:t>
      </w:r>
    </w:p>
    <w:p/>
    <w:p>
      <w:pPr>
        <w:pStyle w:val="Heading2"/>
      </w:pPr>
      <w:r>
        <w:rPr>
          <w:rFonts w:ascii="Times New Roman" w:hAnsi="Times New Roman"/>
        </w:rPr>
        <w:t>5. Quellenverzeichnis (Normen und Rechtsprechung)</w:t>
      </w:r>
    </w:p>
    <w:p>
      <w:pPr>
        <w:pStyle w:val="ListBullet"/>
      </w:pPr>
      <w:r>
        <w:t>ProdSG §§ 3, 26, 39 (Produktsicherheitsgesetz 2021/22): https://www.gesetze-im-internet.de/prodsg_2021/</w:t>
      </w:r>
    </w:p>
    <w:p>
      <w:pPr>
        <w:pStyle w:val="ListBullet"/>
      </w:pPr>
      <w:r>
        <w:t>ProdHaftG §§ 1, 3, 7, 8, 10–12 (Produkthaftungsgesetz): https://www.gesetze-im-internet.de/prodhaftg/</w:t>
      </w:r>
    </w:p>
    <w:p>
      <w:pPr>
        <w:pStyle w:val="ListBullet"/>
      </w:pPr>
      <w:r>
        <w:t>BGB §§ 823, 831, 1004: https://dejure.org/gesetze/BGB/823.html</w:t>
      </w:r>
    </w:p>
    <w:p>
      <w:pPr>
        <w:pStyle w:val="ListBullet"/>
      </w:pPr>
      <w:r>
        <w:t>StGB § 229 (Fahrlässige Körperverletzung): https://dejure.org/gesetze/StGB/229.html</w:t>
      </w:r>
    </w:p>
    <w:p>
      <w:pPr>
        <w:pStyle w:val="ListBullet"/>
      </w:pPr>
      <w:r>
        <w:t>EN 15194:2017 (Pedelec EPAC): Beuth Verlag</w:t>
      </w:r>
    </w:p>
    <w:p>
      <w:pPr>
        <w:pStyle w:val="ListBullet"/>
      </w:pPr>
      <w:r>
        <w:t>Maschinenrichtlinie 2006/42/EG: https://eur-lex.europa.eu/legal-content/DE/TXT/?uri=CELEX:32006L0042</w:t>
      </w:r>
    </w:p>
    <w:p>
      <w:pPr>
        <w:pStyle w:val="ListBullet"/>
      </w:pPr>
      <w:r>
        <w:t>Marktüberwachungs-VO (EU) 2019/1020: https://eur-lex.europa.eu/legal-content/DE/TXT/?uri=CELEX:32019R1020</w:t>
      </w:r>
    </w:p>
    <w:p>
      <w:pPr>
        <w:pStyle w:val="ListBullet"/>
      </w:pPr>
      <w:r>
        <w:t>BGH VI ZR 158/93 (Hühnerpest): https://openjur.de/u/142.html</w:t>
      </w:r>
    </w:p>
    <w:p>
      <w:pPr>
        <w:pStyle w:val="ListBullet"/>
      </w:pPr>
      <w:r>
        <w:t>BGH VI ZR 223/05 (Produkthaftung Serienfehler): https://www.bundesgerichtshof.de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