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Mandatsnotiz</w:t>
      </w:r>
    </w:p>
    <w:p>
      <w:pPr>
        <w:jc w:val="left"/>
      </w:pPr>
      <w:r>
        <w:t>Prüfungsrecht: Studentin Jana Mondsee erhält endgültiges Nichtbestehen nach Online-Klausur, KI-/Plagiatsverdacht, Krankheitseinwand, Nachteilsausgleichslücke und streitiger Akteneinsicht.</w:t>
      </w:r>
    </w:p>
    <w:p>
      <w:pPr>
        <w:jc w:val="left"/>
      </w:pPr>
      <w:r>
        <w:t>Die Unterlagen kommen aus verschiedenen Quellen und sind nicht widerspruchsfrei. Zuerst sind Bundesland, zuständige Stelle, konkrete Ordnung, Frist und Aktenstück zu klären. Keine Aussage wird ohne Normenkette oder Beleg hart formuliert.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