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Normenkette — Live-Check für Drittversuch, Online-Klausur und KI-/Plagiatsverdacht (Jana Mondsee)</w:t>
      </w:r>
    </w:p>
    <w:p>
      <w:pPr>
        <w:pStyle w:val="Heading2"/>
      </w:pPr>
      <w:r>
        <w:rPr>
          <w:rFonts w:ascii="Times New Roman" w:hAnsi="Times New Roman"/>
        </w:rPr>
        <w:t>Vorgehen</w:t>
      </w:r>
    </w:p>
    <w:p>
      <w:pPr>
        <w:jc w:val="left"/>
      </w:pPr>
      <w:r>
        <w:t>Im Prüfungsrecht ist die Normenkette von hochrangiger Verfassungsnorm bis zur konkreten Prüfungsentscheidung sauber zu durchlaufen. Im Fall Jana Mondsee greifen drei besonders sensitive Themen ineinander: (1) Drittversuch mit drohendem endgültigem Nichtbestehen, (2) Online-Klausur-Bedingungen und Beweisfragen zur unbeobachteten Phase, (3) Behindertengleichstellung / Nachteilsausgleich.</w:t>
      </w:r>
    </w:p>
    <w:p>
      <w:pPr>
        <w:pStyle w:val="Heading3"/>
      </w:pPr>
      <w:r>
        <w:rPr>
          <w:rFonts w:ascii="Times New Roman" w:hAnsi="Times New Roman"/>
        </w:rPr>
        <w:t>Stufe 1: Verfassungsrang</w:t>
      </w:r>
    </w:p>
    <w:p>
      <w:pPr>
        <w:pStyle w:val="ListBullet"/>
      </w:pPr>
      <w:r>
        <w:rPr>
          <w:b/>
        </w:rPr>
        <w:t>Art. 12 Abs. 1 GG</w:t>
      </w:r>
      <w:r>
        <w:t xml:space="preserve"> — Berufsfreiheit. Bei endgültigem Nichtbestehen liegt ein gravierender Eingriff vor; die berufliche Zukunft hängt am Studienabschluss.</w:t>
      </w:r>
    </w:p>
    <w:p>
      <w:pPr>
        <w:pStyle w:val="ListBullet"/>
      </w:pPr>
      <w:r>
        <w:rPr>
          <w:b/>
        </w:rPr>
        <w:t>Art. 3 Abs. 3 Satz 2 GG</w:t>
      </w:r>
      <w:r>
        <w:t xml:space="preserve"> — Benachteiligungsverbot wegen Behinderung. Maßgeblich für die LRS-/Angststörungs-bedingten Nachteilsausgleichs-Ansprüche.</w:t>
      </w:r>
    </w:p>
    <w:p>
      <w:pPr>
        <w:pStyle w:val="ListBullet"/>
      </w:pPr>
      <w:r>
        <w:rPr>
          <w:b/>
        </w:rPr>
        <w:t>Art. 19 Abs. 4 GG</w:t>
      </w:r>
      <w:r>
        <w:t xml:space="preserve"> — effektiver Rechtsschutz; rechtfertigt Eilantrag bei drohender Exmatrikulation.</w:t>
      </w:r>
    </w:p>
    <w:p>
      <w:pPr>
        <w:pStyle w:val="ListBullet"/>
      </w:pPr>
      <w:r>
        <w:rPr>
          <w:b/>
        </w:rPr>
        <w:t>Art. 2 Abs. 1 GG iVm Sozialstaatsprinzip</w:t>
      </w:r>
      <w:r>
        <w:t xml:space="preserve"> — Hintergrund-Norm für die BAföG-Frage.</w:t>
      </w:r>
    </w:p>
    <w:p>
      <w:pPr>
        <w:pStyle w:val="Heading3"/>
      </w:pPr>
      <w:r>
        <w:rPr>
          <w:rFonts w:ascii="Times New Roman" w:hAnsi="Times New Roman"/>
        </w:rPr>
        <w:t>Stufe 2: Bundesland und aktuelles Hochschulgesetz</w:t>
      </w:r>
    </w:p>
    <w:p>
      <w:pPr>
        <w:pStyle w:val="ListBullet"/>
      </w:pPr>
      <w:r>
        <w:rPr>
          <w:b/>
        </w:rPr>
        <w:t>Bundesland der Hochschule prüfen</w:t>
      </w:r>
      <w:r>
        <w:t>: in den Aktenstücken ist die Universität nicht eindeutig identifiziert; bitte über Bescheidkopf in Aktenstück 04 (</w:t>
      </w:r>
      <w:r>
        <w:t>04-bescheid-endgueltig-nicht-bestanden.docx</w:t>
      </w:r>
      <w:r>
        <w:t>) verifizieren.</w:t>
      </w:r>
    </w:p>
    <w:p>
      <w:pPr>
        <w:pStyle w:val="ListBullet"/>
      </w:pPr>
      <w:r>
        <w:t xml:space="preserve">Falls Bayern: </w:t>
      </w:r>
      <w:r>
        <w:rPr>
          <w:b/>
        </w:rPr>
        <w:t>Bayerisches Hochschulinnovationsgesetz (BayHIG)</w:t>
      </w:r>
      <w:r>
        <w:t xml:space="preserve"> live gegen </w:t>
      </w:r>
      <w:r>
        <w:t>gesetze-bayern.de</w:t>
      </w:r>
      <w:r>
        <w:t>.</w:t>
      </w:r>
    </w:p>
    <w:p>
      <w:pPr>
        <w:pStyle w:val="ListBullet"/>
      </w:pPr>
      <w:r>
        <w:t xml:space="preserve">Falls NRW: </w:t>
      </w:r>
      <w:r>
        <w:rPr>
          <w:b/>
        </w:rPr>
        <w:t>HG NRW</w:t>
      </w:r>
      <w:r>
        <w:t xml:space="preserve"> gegen </w:t>
      </w:r>
      <w:r>
        <w:t>recht.nrw.de</w:t>
      </w:r>
      <w:r>
        <w:t>.</w:t>
      </w:r>
    </w:p>
    <w:p>
      <w:pPr>
        <w:pStyle w:val="ListBullet"/>
      </w:pPr>
      <w:r>
        <w:t xml:space="preserve">Falls Baden-Württemberg: </w:t>
      </w:r>
      <w:r>
        <w:rPr>
          <w:b/>
        </w:rPr>
        <w:t>LHG BW</w:t>
      </w:r>
      <w:r>
        <w:t xml:space="preserve"> gegen </w:t>
      </w:r>
      <w:r>
        <w:t>landesrecht-bw.de</w:t>
      </w:r>
      <w:r>
        <w:t>.</w:t>
      </w:r>
    </w:p>
    <w:p>
      <w:pPr>
        <w:pStyle w:val="ListBullet"/>
      </w:pPr>
      <w:r>
        <w:t>Schlüsselparagraphen: Regelungen zur Wiederholung von Prüfungen, zum endgültigen Nichtbestehen, zur Anhörung im Prüfungsverfahren.</w:t>
      </w:r>
    </w:p>
    <w:p>
      <w:pPr>
        <w:pStyle w:val="Heading3"/>
      </w:pPr>
      <w:r>
        <w:rPr>
          <w:rFonts w:ascii="Times New Roman" w:hAnsi="Times New Roman"/>
        </w:rPr>
        <w:t>Stufe 3: Verordnung und untergesetzliche Ordnungen</w:t>
      </w:r>
    </w:p>
    <w:p>
      <w:pPr>
        <w:pStyle w:val="ListBullet"/>
      </w:pPr>
      <w:r>
        <w:rPr>
          <w:b/>
        </w:rPr>
        <w:t>Hochschulprüfungsverordnung</w:t>
      </w:r>
      <w:r>
        <w:t xml:space="preserve"> des jeweiligen Landes.</w:t>
      </w:r>
    </w:p>
    <w:p>
      <w:pPr>
        <w:pStyle w:val="ListBullet"/>
      </w:pPr>
      <w:r>
        <w:rPr>
          <w:b/>
        </w:rPr>
        <w:t>Allgemeine Prüfungsordnung (APO)</w:t>
      </w:r>
      <w:r>
        <w:t xml:space="preserve"> der Hochschule — Regelungen zur Online-Klausur und zu deren Aufzeichnungs-/Aufsichtsbedingungen.</w:t>
      </w:r>
    </w:p>
    <w:p>
      <w:pPr>
        <w:pStyle w:val="ListBullet"/>
      </w:pPr>
      <w:r>
        <w:rPr>
          <w:b/>
        </w:rPr>
        <w:t>Inklusionsverordnung / Richtlinie zum Nachteilsausgleich</w:t>
      </w:r>
      <w:r>
        <w:t xml:space="preserve"> der Hochschule.</w:t>
      </w:r>
    </w:p>
    <w:p>
      <w:pPr>
        <w:pStyle w:val="ListBullet"/>
      </w:pPr>
      <w:r>
        <w:rPr>
          <w:b/>
        </w:rPr>
        <w:t>Datenschutz-Regelungen</w:t>
      </w:r>
      <w:r>
        <w:t xml:space="preserve"> zur Browser-Lockdown-Software und Video-Aufzeichnung.</w:t>
      </w:r>
    </w:p>
    <w:p>
      <w:pPr>
        <w:pStyle w:val="Heading3"/>
      </w:pPr>
      <w:r>
        <w:rPr>
          <w:rFonts w:ascii="Times New Roman" w:hAnsi="Times New Roman"/>
        </w:rPr>
        <w:t>Stufe 4: Studien- und Prüfungsordnung des konkreten Studiengangs</w:t>
      </w:r>
    </w:p>
    <w:p>
      <w:pPr>
        <w:pStyle w:val="ListBullet"/>
      </w:pPr>
      <w:r>
        <w:rPr>
          <w:b/>
        </w:rPr>
        <w:t>Fachprüfungsordnung (FPO)</w:t>
      </w:r>
      <w:r>
        <w:t xml:space="preserve"> des Studiengangs Jana Mondsee: § ... zu Wiederholbarkeit (Drittversuch ist letztes), § ... zu Täuschungsversuchen und Hilfsmittelnutzung.</w:t>
      </w:r>
    </w:p>
    <w:p>
      <w:pPr>
        <w:pStyle w:val="ListBullet"/>
      </w:pPr>
      <w:r>
        <w:rPr>
          <w:b/>
        </w:rPr>
        <w:t>Modulhandbuch</w:t>
      </w:r>
      <w:r>
        <w:t xml:space="preserve"> "Quantitative Methoden III" — welche Lernziele wurden in der Klausur abgeprüft? Welche Hilfsmittel waren erlaubt?</w:t>
      </w:r>
    </w:p>
    <w:p>
      <w:pPr>
        <w:pStyle w:val="ListBullet"/>
      </w:pPr>
      <w:r>
        <w:rPr>
          <w:b/>
        </w:rPr>
        <w:t>Online-Klausur-Ordnung</w:t>
      </w:r>
      <w:r>
        <w:t xml:space="preserve"> (sofern vorhanden) — regelt typischerweise Bildaufzeichnung, Browser-Lockdown, Verhalten bei technischen Störungen.</w:t>
      </w:r>
    </w:p>
    <w:p>
      <w:pPr>
        <w:pStyle w:val="Heading3"/>
      </w:pPr>
      <w:r>
        <w:rPr>
          <w:rFonts w:ascii="Times New Roman" w:hAnsi="Times New Roman"/>
        </w:rPr>
        <w:t>Stufe 5: Konkreter Bescheid, Beschluss und Verwaltungsakt</w:t>
      </w:r>
    </w:p>
    <w:p>
      <w:pPr>
        <w:pStyle w:val="ListBullet"/>
      </w:pPr>
      <w:r>
        <w:rPr>
          <w:b/>
        </w:rPr>
        <w:t>Bescheid endgültiges Nichtbestehen</w:t>
      </w:r>
      <w:r>
        <w:t xml:space="preserve"> vom 05.05.2026 (Aktenstück 04): Verwaltungsakt iSv § 35 BayVwVfG / § 35 VwVfG NRW (je nach Land).</w:t>
      </w:r>
    </w:p>
    <w:p>
      <w:pPr>
        <w:pStyle w:val="ListBullet"/>
      </w:pPr>
      <w:r>
        <w:rPr>
          <w:b/>
        </w:rPr>
        <w:t>Interne Vermerke</w:t>
      </w:r>
      <w:r>
        <w:t xml:space="preserve"> des Prüfungsamts (Aktenstück 05/06) — Bewertungsbogen und Rügematrix.</w:t>
      </w:r>
    </w:p>
    <w:p>
      <w:pPr>
        <w:pStyle w:val="ListBullet"/>
      </w:pPr>
      <w:r>
        <w:rPr>
          <w:b/>
        </w:rPr>
        <w:t>E-Mail</w:t>
      </w:r>
      <w:r>
        <w:t xml:space="preserve"> der Prüfungsabteilung vom 24.04.2026 (Aktenstück 07): Rechtsqualität streitig; wir tendieren zu Wissenserklärung, weil keine Regelungswirkung; aber: zugleich Vorwirkung für die Anhörungspflicht.</w:t>
      </w:r>
    </w:p>
    <w:p>
      <w:pPr>
        <w:pStyle w:val="Heading3"/>
      </w:pPr>
      <w:r>
        <w:rPr>
          <w:rFonts w:ascii="Times New Roman" w:hAnsi="Times New Roman"/>
        </w:rPr>
        <w:t>Stufe 6: Rechtsbehelf und Frist</w:t>
      </w:r>
    </w:p>
    <w:p>
      <w:pPr>
        <w:pStyle w:val="ListBullet"/>
      </w:pPr>
      <w:r>
        <w:rPr>
          <w:b/>
        </w:rPr>
        <w:t>Widerspruch</w:t>
      </w:r>
      <w:r>
        <w:t xml:space="preserve"> § 70 VwGO iVm Landesrecht: 1 Monat ab Bekanntgabe → endet </w:t>
      </w:r>
      <w:r>
        <w:rPr>
          <w:b/>
        </w:rPr>
        <w:t>08.06.2026</w:t>
      </w:r>
      <w:r>
        <w:t>; bereits eingelegt 22.05.2026.</w:t>
      </w:r>
    </w:p>
    <w:p>
      <w:pPr>
        <w:pStyle w:val="ListBullet"/>
      </w:pPr>
      <w:r>
        <w:rPr>
          <w:b/>
        </w:rPr>
        <w:t>Widerspruchsbehörde</w:t>
      </w:r>
      <w:r>
        <w:t>: Prüfungsausschuss bzw. Rektorat — je nach FPO.</w:t>
      </w:r>
    </w:p>
    <w:p>
      <w:pPr>
        <w:pStyle w:val="ListBullet"/>
      </w:pPr>
      <w:r>
        <w:rPr>
          <w:b/>
        </w:rPr>
        <w:t>Klage</w:t>
      </w:r>
      <w:r>
        <w:t xml:space="preserve"> vor zuständigem Verwaltungsgericht: 1 Monat nach Widerspruchsbescheid.</w:t>
      </w:r>
    </w:p>
    <w:p>
      <w:pPr>
        <w:pStyle w:val="ListBullet"/>
      </w:pPr>
      <w:r>
        <w:rPr>
          <w:b/>
        </w:rPr>
        <w:t>Eilantrag § 80 Abs. 5 VwGO</w:t>
      </w:r>
      <w:r>
        <w:t xml:space="preserve"> zur Aussetzung der Vollziehung des Nichtbestehensbescheids — Anordnungsanspruch (Verfahrensfehler bei Anhörung und Nachteilsausgleich), Anordnungsgrund (drohende Exmatrikulation, Verlust BAföG, Verlust Praktikumsplatz).</w:t>
      </w:r>
    </w:p>
    <w:p>
      <w:pPr>
        <w:pStyle w:val="ListBullet"/>
      </w:pPr>
      <w:r>
        <w:rPr>
          <w:b/>
        </w:rPr>
        <w:t>Beweissicherungsantrag</w:t>
      </w:r>
      <w:r>
        <w:t xml:space="preserve"> zur Konservierung der Browser-Lockdown-Logs und Zoom-Aufzeichnung (falls noch vorhanden).</w:t>
      </w:r>
    </w:p>
    <w:p>
      <w:pPr>
        <w:pStyle w:val="Heading2"/>
      </w:pPr>
      <w:r>
        <w:rPr>
          <w:rFonts w:ascii="Times New Roman" w:hAnsi="Times New Roman"/>
        </w:rPr>
        <w:t>Spezialthema 1: Nachteilsausgleich (Art. 3 III 2 GG, BGG, UN-BRK)</w:t>
      </w:r>
    </w:p>
    <w:p>
      <w:pPr>
        <w:pStyle w:val="ListBullet"/>
      </w:pPr>
      <w:r>
        <w:rPr>
          <w:b/>
        </w:rPr>
        <w:t>Anhörungsrecht</w:t>
      </w:r>
      <w:r>
        <w:t xml:space="preserve"> vor Verkürzung des beantragten Nachteilsausgleichs ist Verfahrensvoraussetzung (Art. 28 BayVwVfG / § 28 VwVfG).</w:t>
      </w:r>
    </w:p>
    <w:p>
      <w:pPr>
        <w:pStyle w:val="ListBullet"/>
      </w:pPr>
      <w:r>
        <w:rPr>
          <w:b/>
        </w:rPr>
        <w:t>Verhältnismäßigkeit</w:t>
      </w:r>
      <w:r>
        <w:t>: Die Verkürzung von 25 % auf 15 % Schreibverlängerung ohne Begründung ist materiell angreifbar.</w:t>
      </w:r>
    </w:p>
    <w:p>
      <w:pPr>
        <w:pStyle w:val="ListBullet"/>
      </w:pPr>
      <w:r>
        <w:rPr>
          <w:b/>
        </w:rPr>
        <w:t>Wissenschaftliche Studienlage</w:t>
      </w:r>
      <w:r>
        <w:t xml:space="preserve"> zu Online-Klausuren mit LRS: vielfach kritisiert, weil Bildschirmlesen die Symptomatik verstärkt.</w:t>
      </w:r>
    </w:p>
    <w:p>
      <w:pPr>
        <w:pStyle w:val="Heading2"/>
      </w:pPr>
      <w:r>
        <w:rPr>
          <w:rFonts w:ascii="Times New Roman" w:hAnsi="Times New Roman"/>
        </w:rPr>
        <w:t>Spezialthema 2: KI-/Plagiatsverdacht</w:t>
      </w:r>
    </w:p>
    <w:p>
      <w:pPr>
        <w:pStyle w:val="ListBullet"/>
      </w:pPr>
      <w:r>
        <w:rPr>
          <w:b/>
        </w:rPr>
        <w:t>Belastungs- und Beweispflicht</w:t>
      </w:r>
      <w:r>
        <w:t xml:space="preserve"> liegt bei der Hochschule (BVerwG-Linie zur Täuschungsfeststellung — Az im Mandat live verifizieren).</w:t>
      </w:r>
    </w:p>
    <w:p>
      <w:pPr>
        <w:pStyle w:val="ListBullet"/>
      </w:pPr>
      <w:r>
        <w:rPr>
          <w:b/>
        </w:rPr>
        <w:t>KI-Detektoren</w:t>
      </w:r>
      <w:r>
        <w:t xml:space="preserve"> (Turnitin AI, GPTZero u.a.): hohe falsch-positive Rate, deshalb nicht allein tragend.</w:t>
      </w:r>
    </w:p>
    <w:p>
      <w:pPr>
        <w:pStyle w:val="ListBullet"/>
      </w:pPr>
      <w:r>
        <w:rPr>
          <w:b/>
        </w:rPr>
        <w:t>Hilfsmittelnutzung in Offline-Phase</w:t>
      </w:r>
      <w:r>
        <w:t>: Vermutung allein reicht nicht; konkrete Indizien erforderlich; Schwächeanfall ärztlich attestiert (Aktenstück 09).</w:t>
      </w:r>
    </w:p>
    <w:p>
      <w:pPr>
        <w:pStyle w:val="Heading2"/>
      </w:pPr>
      <w:r>
        <w:rPr>
          <w:rFonts w:ascii="Times New Roman" w:hAnsi="Times New Roman"/>
        </w:rPr>
        <w:t>Spezialthema 3: Online-Klausur-Bedingungen</w:t>
      </w:r>
    </w:p>
    <w:p>
      <w:pPr>
        <w:pStyle w:val="ListBullet"/>
      </w:pPr>
      <w:r>
        <w:rPr>
          <w:b/>
        </w:rPr>
        <w:t>Datenschutz</w:t>
      </w:r>
      <w:r>
        <w:t>: Browser-Lockdown und Videoaufzeichnung müssen rechtmäßige Datenverarbeitung sein (Art. 6 DSGVO + Hochschulrecht).</w:t>
      </w:r>
    </w:p>
    <w:p>
      <w:pPr>
        <w:pStyle w:val="ListBullet"/>
      </w:pPr>
      <w:r>
        <w:rPr>
          <w:b/>
        </w:rPr>
        <w:t>Technische Mindestanforderungen</w:t>
      </w:r>
      <w:r>
        <w:t>: bei technischer Störung muss Hochschule Verfahrensregeln haben (Pause, Wiederholung, alternative Bewertung).</w:t>
      </w:r>
    </w:p>
    <w:p>
      <w:pPr>
        <w:pStyle w:val="ListBullet"/>
      </w:pPr>
      <w:r>
        <w:rPr>
          <w:b/>
        </w:rPr>
        <w:t>Gleichbehandlung</w:t>
      </w:r>
      <w:r>
        <w:t>: Online-Klausur und Präsenzklausur unterliegen unterschiedlichen Bedingungen; Bewertungsmaßstab muss vergleichbar sein.</w:t>
      </w:r>
    </w:p>
    <w:p>
      <w:pPr>
        <w:pStyle w:val="Heading2"/>
      </w:pPr>
      <w:r>
        <w:rPr>
          <w:rFonts w:ascii="Times New Roman" w:hAnsi="Times New Roman"/>
        </w:rPr>
        <w:t>Live-Quellen-Karte</w:t>
      </w:r>
    </w:p>
    <w:p>
      <w:pPr>
        <w:pStyle w:val="ListBullet"/>
      </w:pPr>
      <w:r>
        <w:t>Landesrecht-Datenbank des jeweiligen Bundeslandes (</w:t>
      </w:r>
      <w:r>
        <w:t>gesetze-bayern.de</w:t>
      </w:r>
      <w:r>
        <w:t xml:space="preserve">, </w:t>
      </w:r>
      <w:r>
        <w:t>recht.nrw.de</w:t>
      </w:r>
      <w:r>
        <w:t>, etc.).</w:t>
      </w:r>
    </w:p>
    <w:p>
      <w:pPr>
        <w:pStyle w:val="ListBullet"/>
      </w:pPr>
      <w:r>
        <w:t>bverwg.de</w:t>
      </w:r>
      <w:r>
        <w:t xml:space="preserve"> und Landesoberverwaltungsgerichte — aktuelle Prüfungs- und Hochschulrechtsprechung.</w:t>
      </w:r>
    </w:p>
    <w:p>
      <w:pPr>
        <w:pStyle w:val="ListBullet"/>
      </w:pPr>
      <w:r>
        <w:t>Hochschulwebsite → Bereich "Satzungen", Studien- und Prüfungsordnungen.</w:t>
      </w:r>
    </w:p>
    <w:p>
      <w:pPr>
        <w:pStyle w:val="ListBullet"/>
      </w:pPr>
      <w:r>
        <w:t>KMK-Beschlüsse zu Online-Prüfungen und KI in Prüfungen — als Auslegungshilfe.</w:t>
      </w:r>
    </w:p>
    <w:p>
      <w:pPr>
        <w:pStyle w:val="ListBullet"/>
      </w:pPr>
      <w:r>
        <w:t>BGG / Behindertenrechtskonvention (UN-BRK Art. 24) für Nachteilsausgleich.</w:t>
      </w:r>
    </w:p>
    <w:p>
      <w:pPr>
        <w:pStyle w:val="Heading2"/>
      </w:pPr>
      <w:r>
        <w:rPr>
          <w:rFonts w:ascii="Times New Roman" w:hAnsi="Times New Roman"/>
        </w:rPr>
        <w:t>Quellenhygiene</w:t>
      </w:r>
    </w:p>
    <w:p>
      <w:pPr>
        <w:pStyle w:val="ListBullet"/>
      </w:pPr>
      <w:r>
        <w:t>Keine Aktenzeichen aus Modellwissen ausgeben — vor Verwendung verifizieren.</w:t>
      </w:r>
    </w:p>
    <w:p>
      <w:pPr>
        <w:pStyle w:val="ListBullet"/>
      </w:pPr>
      <w:r>
        <w:t>KI-Detektor-Outputs nicht als Beweis akzeptieren, sondern als Indiz mit Substantiierungspflicht.</w:t>
      </w:r>
    </w:p>
    <w:p>
      <w:pPr>
        <w:pStyle w:val="ListBullet"/>
      </w:pPr>
      <w:r>
        <w:t>Konkrete Hochschule und Bundesland aus Aktenstück 04 verifizieren, bevor landesspezifische Aussagen getroffen werden.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