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Fall 01: Energieabsperrung Mietshochhaus (RWE)</w:t>
      </w:r>
    </w:p>
    <w:p>
      <w:pPr>
        <w:jc w:val="left"/>
      </w:pPr>
      <w:r>
        <w:t>AZ: BSBZ-2026-08-0288</w:t>
      </w:r>
    </w:p>
    <w:p>
      <w:pPr>
        <w:jc w:val="left"/>
      </w:pPr>
      <w:r>
        <w:t>BerH-AZ: AG Köln 41 AR 188/26</w:t>
      </w:r>
    </w:p>
    <w:p>
      <w:pPr>
        <w:jc w:val="left"/>
      </w:pPr>
      <w:r>
        <w:t>Erstkontakt: 04.08.2026</w:t>
      </w:r>
    </w:p>
    <w:p>
      <w:pPr>
        <w:jc w:val="left"/>
      </w:pPr>
      <w:r>
        <w:t>Bearbeiter: Dr. Marek Roosendaal</w:t>
      </w:r>
    </w:p>
    <w:p>
      <w:pPr>
        <w:jc w:val="left"/>
      </w:pPr>
      <w:r>
        <w:t>Status: BerH bewilligt; einstweilige Verfügung in Vorbereitung</w:t>
      </w:r>
    </w:p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Am 04.08.2026 erschienen sechs Mieter aus dem Mehrfamilienhaus Kalker Hauptstr. 104, 51103 Köln in der Beratungsstelle. Das Gebäude umfasst 18 Wohneinheiten; Eigentümer ist die Hausbesitz Verwaltungs-GmbH Kalk (vertreten durch Geschäftsführer Bernd Hagemann-Kohl). RWE Energie hatte am 01.08.2026 die zentrale Gaszufuhr des Hauses gesperrt, weil der Vermieter seit März 2026 keine Energieabschläge mehr gezahlt hatte (Rückstand laut RWE: 14.300 EUR).</w:t>
      </w:r>
    </w:p>
    <w:p>
      <w:pPr>
        <w:jc w:val="left"/>
      </w:pPr>
      <w:r>
        <w:t>Folge: 14 der 18 Wohneinheiten hatten seither kein warmes Wasser und keine Heizung (trotz Sommers für Warmwasser relevant). Betroffene Mieter zahlen ihre Miete regelmäßig und können den Rückstand des Vermieters nicht verantworten.</w:t>
      </w:r>
    </w:p>
    <w:p>
      <w:pPr>
        <w:pStyle w:val="Heading2"/>
      </w:pPr>
      <w:r>
        <w:rPr>
          <w:rFonts w:ascii="Times New Roman" w:hAnsi="Times New Roman"/>
        </w:rPr>
        <w:t>Rechtliche Einschätzung</w:t>
      </w:r>
    </w:p>
    <w:p>
      <w:pPr>
        <w:jc w:val="left"/>
      </w:pPr>
      <w:r>
        <w:rPr>
          <w:b/>
        </w:rPr>
        <w:t>Mietrechtliche Ebene (BGB §§ 535 ff.):</w:t>
      </w:r>
    </w:p>
    <w:p>
      <w:pPr>
        <w:pStyle w:val="ListBullet"/>
      </w:pPr>
      <w:r>
        <w:t>Die Versorgung mit Warmwasser ist Bestandteil der Mietsache (§ 535 Abs. 1 S. 2 BGB).</w:t>
      </w:r>
    </w:p>
    <w:p>
      <w:pPr>
        <w:pStyle w:val="ListBullet"/>
      </w:pPr>
      <w:r>
        <w:t>Der Vermieter verletzt seine Instandhaltungspflicht; Mieter haben Recht auf Mietminderung (§ 536 BGB) sowie ggf. Rücktritt/Kündigung (§ 543 BGB wichtiger Grund).</w:t>
      </w:r>
    </w:p>
    <w:p>
      <w:pPr>
        <w:pStyle w:val="ListBullet"/>
      </w:pPr>
      <w:r>
        <w:t>Schadenersatzansprüche aus § 280 BGB sind zu prüfen.</w:t>
      </w:r>
    </w:p>
    <w:p>
      <w:pPr>
        <w:jc w:val="left"/>
      </w:pPr>
      <w:r>
        <w:rPr>
          <w:b/>
        </w:rPr>
        <w:t>Energierechtliche Ebene:</w:t>
      </w:r>
    </w:p>
    <w:p>
      <w:pPr>
        <w:pStyle w:val="ListBullet"/>
      </w:pPr>
      <w:r>
        <w:t>Die Sperrung betrifft einen Sammelzähler des Vermieters, nicht individuelle Haushaltszähler. RWE handelt gegenüber dem Vertragspartner (Vermieter) rechtmäßig.</w:t>
      </w:r>
    </w:p>
    <w:p>
      <w:pPr>
        <w:pStyle w:val="ListBullet"/>
      </w:pPr>
      <w:r>
        <w:t>Klienten sind Dritte ohne direktes Vertragsverhältnis mit RWE. Ein Direktanschluss der Mieter kann bei Gefährdung (§ 19 Abs. 2 GasGVV) beantragt werden.</w:t>
      </w:r>
    </w:p>
    <w:p>
      <w:pPr>
        <w:jc w:val="left"/>
      </w:pPr>
      <w:r>
        <w:rPr>
          <w:b/>
        </w:rPr>
        <w:t>Prozessuales:</w:t>
      </w:r>
    </w:p>
    <w:p>
      <w:pPr>
        <w:pStyle w:val="ListBullet"/>
      </w:pPr>
      <w:r>
        <w:t>Einstweilige Verfügung gegen Vermieter auf Wiederherstellung Warmwasserversorgung (§ 940 ZPO) prüfenswert.</w:t>
      </w:r>
    </w:p>
    <w:p>
      <w:pPr>
        <w:pStyle w:val="ListBullet"/>
      </w:pPr>
      <w:r>
        <w:t>Alternativ: Selbsthilfe nach § 536a Abs. 2 BGB (Vorschuss für Mangelbeseitigung).</w:t>
      </w:r>
    </w:p>
    <w:p>
      <w:pPr>
        <w:pStyle w:val="Heading2"/>
      </w:pPr>
      <w:r>
        <w:rPr>
          <w:rFonts w:ascii="Times New Roman" w:hAnsi="Times New Roman"/>
        </w:rPr>
        <w:t>Beratungshilfe</w:t>
      </w:r>
    </w:p>
    <w:p>
      <w:pPr>
        <w:jc w:val="left"/>
      </w:pPr>
      <w:r>
        <w:t>BerH beantragt am 05.08.2026 für Sprecher der Mietergruppe Herrn Ahmet Cetinkaya-Roth (BSBZ-2026-08-0288). AG Köln bewilligte BerH am 06.08.2026 (41 AR 188/26) für außergerichtliche Tätigkeit.</w:t>
      </w:r>
    </w:p>
    <w:p>
      <w:pPr>
        <w:pStyle w:val="Heading2"/>
      </w:pPr>
      <w:r>
        <w:rPr>
          <w:rFonts w:ascii="Times New Roman" w:hAnsi="Times New Roman"/>
        </w:rPr>
        <w:t>Maßnahmen</w:t>
      </w:r>
    </w:p>
    <w:p>
      <w:pPr>
        <w:pStyle w:val="ListNumber"/>
      </w:pPr>
      <w:r>
        <w:t>Abstimmung mit Mieterverein Köln (Kontakt: Thomas Spieker, 04.08.2026)</w:t>
      </w:r>
    </w:p>
    <w:p>
      <w:pPr>
        <w:pStyle w:val="ListNumber"/>
      </w:pPr>
      <w:r>
        <w:t>Schreiben an Vermieter Hagemann-Kohl mit Fristsetzung 07.08.2026</w:t>
      </w:r>
    </w:p>
    <w:p>
      <w:pPr>
        <w:pStyle w:val="ListNumber"/>
      </w:pPr>
      <w:r>
        <w:t>Schreiben an RWE-Kundenservice mit Bitte um Zahlungsaufschub Vermieter</w:t>
      </w:r>
    </w:p>
    <w:p>
      <w:pPr>
        <w:pStyle w:val="ListNumber"/>
      </w:pPr>
      <w:r>
        <w:t>Prüfung einstweilige Verfügung AG Köln bis 11.08.2026</w:t>
      </w:r>
    </w:p>
    <w:p>
      <w:pPr>
        <w:pStyle w:val="ListNumber"/>
      </w:pPr>
      <w:r>
        <w:t>Information Ordnungsamt Köln (Wohnraumschutz) am 06.08.2026</w:t>
      </w:r>
    </w:p>
    <w:p>
      <w:pPr>
        <w:pStyle w:val="Heading2"/>
      </w:pPr>
      <w:r>
        <w:rPr>
          <w:rFonts w:ascii="Times New Roman" w:hAnsi="Times New Roman"/>
        </w:rPr>
        <w:t>Dokumentation</w:t>
      </w:r>
    </w:p>
    <w:p>
      <w:pPr>
        <w:pStyle w:val="ListBullet"/>
      </w:pPr>
      <w:r>
        <w:t>Vollmacht Herr Cetinkaya-Roth: 04.08.2026</w:t>
      </w:r>
    </w:p>
    <w:p>
      <w:pPr>
        <w:pStyle w:val="ListBullet"/>
      </w:pPr>
      <w:r>
        <w:t>Unterschriftenliste Mieter: 14 Unterschriften, Beilage zu AZ</w:t>
      </w:r>
    </w:p>
    <w:p>
      <w:pPr>
        <w:pStyle w:val="ListBullet"/>
      </w:pPr>
      <w:r>
        <w:t>Schreiben an Vermieter Hagemann-Kohl: 07.08.2026, per Einschreiben</w:t>
      </w:r>
    </w:p>
    <w:p>
      <w:pPr>
        <w:pStyle w:val="ListBullet"/>
      </w:pPr>
      <w:r>
        <w:t>Reaktion Vermieter: keine bis 14.08.2026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BGB §§ 535, 536, 536a, 543, 280</w:t>
      </w:r>
    </w:p>
    <w:p>
      <w:pPr>
        <w:pStyle w:val="ListBullet"/>
      </w:pPr>
      <w:r>
        <w:t>GasGVV § 19</w:t>
      </w:r>
    </w:p>
    <w:p>
      <w:pPr>
        <w:pStyle w:val="ListBullet"/>
      </w:pPr>
      <w:r>
        <w:t>ZPO § 940 (einstweilige Verfügung)</w:t>
      </w:r>
    </w:p>
    <w:p>
      <w:pPr>
        <w:pStyle w:val="ListBullet"/>
      </w:pPr>
      <w:r>
        <w:t>dejure.org: BGB § 535 Rn. 12 ff. (Beschaffenheitspflicht)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