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06 — Fall 05: Schuldenregulierung nach Pauschalreise-Insolvenz</w:t>
      </w:r>
    </w:p>
    <w:p>
      <w:pPr>
        <w:jc w:val="left"/>
      </w:pPr>
      <w:r>
        <w:t>AZ: BSBZ-2026-08-0292</w:t>
      </w:r>
    </w:p>
    <w:p>
      <w:pPr>
        <w:jc w:val="left"/>
      </w:pPr>
      <w:r>
        <w:t>Erstkontakt: 12.08.2026</w:t>
      </w:r>
    </w:p>
    <w:p>
      <w:pPr>
        <w:jc w:val="left"/>
      </w:pPr>
      <w:r>
        <w:t>Bearbeiter: Erkan Yildiz-Pohlmann (Sozialarbeiter), Rücksprache Dr. Pellbach-Tannenfels</w:t>
      </w:r>
    </w:p>
    <w:p>
      <w:pPr>
        <w:jc w:val="left"/>
      </w:pPr>
      <w:r>
        <w:t>Status: Überweisung Diakonie Schuldnerberatung; Termin 09.09.2026</w:t>
      </w:r>
    </w:p>
    <w:p>
      <w:pPr>
        <w:pStyle w:val="Heading2"/>
      </w:pPr>
      <w:r>
        <w:rPr>
          <w:rFonts w:ascii="Times New Roman" w:hAnsi="Times New Roman"/>
        </w:rPr>
        <w:t>Sachverhalt</w:t>
      </w:r>
    </w:p>
    <w:p>
      <w:pPr>
        <w:jc w:val="left"/>
      </w:pPr>
      <w:r>
        <w:t>Klient: Thomas Kreutzberg-Möller (52), wohnhaft Vingster Ring 45, 51145 Köln. Beruf: Lagerhelfer (befristet), Netto 1.320 EUR/Mon.</w:t>
      </w:r>
    </w:p>
    <w:p>
      <w:pPr>
        <w:jc w:val="left"/>
      </w:pPr>
      <w:r>
        <w:t>Im Oktober 2025 buchte Herr Kreutzberg-Möller bei der TravelComfort GmbH (Mainz) eine Pauschalreise Türkei für 2 Personen über einen Finanzierungsvertrag (Santander Consumer Finance AG): Gesamtbetrag 3.200 EUR, in 24 Raten à 138 EUR. Im Dezember 2025 meldete TravelComfort GmbH Insolvenz an (AG Mainz, IN 1177/25). Die Reise fand nicht statt.</w:t>
      </w:r>
    </w:p>
    <w:p>
      <w:pPr>
        <w:jc w:val="left"/>
      </w:pPr>
      <w:r>
        <w:t>Parallel hatte Herr Kreutzberg-Möller weitere Verbindlichkeiten aufgebaut:</w:t>
      </w:r>
    </w:p>
    <w:p>
      <w:pPr>
        <w:pStyle w:val="ListBullet"/>
      </w:pPr>
      <w:r>
        <w:t>Dispokredit Deutsche Bank: 2.100 EUR (Zinsen 12,9 % p.a.)</w:t>
      </w:r>
    </w:p>
    <w:p>
      <w:pPr>
        <w:pStyle w:val="ListBullet"/>
      </w:pPr>
      <w:r>
        <w:t>Ratenzahlung Elektromarkt (MediaMarkt Finanzierung): 1.500 EUR</w:t>
      </w:r>
    </w:p>
    <w:p>
      <w:pPr>
        <w:pStyle w:val="ListBullet"/>
      </w:pPr>
      <w:r>
        <w:t>Gesamtschulden: ca. 6.800 EUR</w:t>
      </w:r>
    </w:p>
    <w:p>
      <w:pPr>
        <w:jc w:val="left"/>
      </w:pPr>
      <w:r>
        <w:t>Der Finanzierungsvertrag mit Santander läuft weiter; monatliche Rate wird trotz Insolvenz des Reiseveranstalters abgebucht.</w:t>
      </w:r>
    </w:p>
    <w:p>
      <w:pPr>
        <w:pStyle w:val="Heading2"/>
      </w:pPr>
      <w:r>
        <w:rPr>
          <w:rFonts w:ascii="Times New Roman" w:hAnsi="Times New Roman"/>
        </w:rPr>
        <w:t>Rechtliche Einschätzung</w:t>
      </w:r>
    </w:p>
    <w:p>
      <w:pPr>
        <w:jc w:val="left"/>
      </w:pPr>
      <w:r>
        <w:rPr>
          <w:b/>
        </w:rPr>
        <w:t>Pauschalreiserecht (BGB §§ 651a ff.):</w:t>
      </w:r>
    </w:p>
    <w:p>
      <w:pPr>
        <w:pStyle w:val="ListBullet"/>
      </w:pPr>
      <w:r>
        <w:t>Bei Insolvenz des Veranstalters greift das Insolvenzabsicherungssystem nach § 651r BGB (Reisesicherungsschein/Reisebüroabsicherung).</w:t>
      </w:r>
    </w:p>
    <w:p>
      <w:pPr>
        <w:pStyle w:val="ListBullet"/>
      </w:pPr>
      <w:r>
        <w:t>Klient hat Anspruch gegenüber dem Kundengeldabsicherer (hier: Kreditkartenversicherung nicht vorhanden; Absicherer unklar — Nachfrage Insolvenzverwalter).</w:t>
      </w:r>
    </w:p>
    <w:p>
      <w:pPr>
        <w:jc w:val="left"/>
      </w:pPr>
      <w:r>
        <w:rPr>
          <w:b/>
        </w:rPr>
        <w:t>Widerruf Finanzierungsvertrag (§§ 491 ff. BGB, verbundenes Geschäft):</w:t>
      </w:r>
    </w:p>
    <w:p>
      <w:pPr>
        <w:pStyle w:val="ListBullet"/>
      </w:pPr>
      <w:r>
        <w:t>Finanzierungsvertrag und Reisevertrag sind verbundene Verträge (§ 358 BGB).</w:t>
      </w:r>
    </w:p>
    <w:p>
      <w:pPr>
        <w:pStyle w:val="ListBullet"/>
      </w:pPr>
      <w:r>
        <w:t>Mit Insolvenz des Reiseveranstalters ist die Gegenleistung entfallen → Rücktritt vom Finanzierungsvertrag möglich.</w:t>
      </w:r>
    </w:p>
    <w:p>
      <w:pPr>
        <w:pStyle w:val="ListBullet"/>
      </w:pPr>
      <w:r>
        <w:t>Empfehlung: Widerrufsrecht nach § 355 BGB prüfen; falls Widerrufsfrist abgelaufen, § 313 BGB (Wegfall Geschäftsgrundlage).</w:t>
      </w:r>
    </w:p>
    <w:p>
      <w:pPr>
        <w:jc w:val="left"/>
      </w:pPr>
      <w:r>
        <w:rPr>
          <w:b/>
        </w:rPr>
        <w:t>Insolvenzforderungsanmeldung:</w:t>
      </w:r>
    </w:p>
    <w:p>
      <w:pPr>
        <w:pStyle w:val="ListBullet"/>
      </w:pPr>
      <w:r>
        <w:t>Forderungsanmeldung beim Insolvenzverwalter (AG Mainz IN 1177/25): Anmeldung von 3.200 EUR als ungesicherte Insolvenzforderung.</w:t>
      </w:r>
    </w:p>
    <w:p>
      <w:pPr>
        <w:jc w:val="left"/>
      </w:pPr>
      <w:r>
        <w:rPr>
          <w:b/>
        </w:rPr>
        <w:t>Schuldnerberatung:</w:t>
      </w:r>
    </w:p>
    <w:p>
      <w:pPr>
        <w:pStyle w:val="ListBullet"/>
      </w:pPr>
      <w:r>
        <w:t>Gesamtschulden 6.800 EUR, Nettoeinkommen 1.320 EUR: außergerichtliche Schuldenbereinigung nach § 305 InsO realistisch.</w:t>
      </w:r>
    </w:p>
    <w:p>
      <w:pPr>
        <w:pStyle w:val="ListBullet"/>
      </w:pPr>
      <w:r>
        <w:t>Überweisung an Diakonie Schuldnerberatung Köln-Kalk (Fachanerkannte Beratungsstelle nach § 305 Abs. 1 InsO).</w:t>
      </w:r>
    </w:p>
    <w:p>
      <w:pPr>
        <w:pStyle w:val="Heading2"/>
      </w:pPr>
      <w:r>
        <w:rPr>
          <w:rFonts w:ascii="Times New Roman" w:hAnsi="Times New Roman"/>
        </w:rPr>
        <w:t>Maßnahmen</w:t>
      </w:r>
    </w:p>
    <w:p>
      <w:pPr>
        <w:pStyle w:val="ListNumber"/>
      </w:pPr>
      <w:r>
        <w:t>Beratung 12.08.2026; Vollständige Schuldenliste erstellt</w:t>
      </w:r>
    </w:p>
    <w:p>
      <w:pPr>
        <w:pStyle w:val="ListNumber"/>
      </w:pPr>
      <w:r>
        <w:t>Überweisung Diakonie Schuldnerberatung Kalk: Schreiben vom 13.08.2026 (→ Aktenstück 15)</w:t>
      </w:r>
    </w:p>
    <w:p>
      <w:pPr>
        <w:pStyle w:val="ListNumber"/>
      </w:pPr>
      <w:r>
        <w:t>Forderungsanmeldung Insolvenzverwalter: Entwurf erstellt, Klient zur Einreichung bevollmächtigt</w:t>
      </w:r>
    </w:p>
    <w:p>
      <w:pPr>
        <w:pStyle w:val="ListNumber"/>
      </w:pPr>
      <w:r>
        <w:t>Brief an Santander Consumer Finance: Rücktritt verbundenes Geschäft beantragt</w:t>
      </w:r>
    </w:p>
    <w:p>
      <w:pPr>
        <w:pStyle w:val="Heading2"/>
      </w:pPr>
      <w:r>
        <w:rPr>
          <w:rFonts w:ascii="Times New Roman" w:hAnsi="Times New Roman"/>
        </w:rPr>
        <w:t>Quellen</w:t>
      </w:r>
    </w:p>
    <w:p>
      <w:pPr>
        <w:pStyle w:val="ListBullet"/>
      </w:pPr>
      <w:r>
        <w:t>BGB §§ 355, 358, 313, 651a, 651r</w:t>
      </w:r>
    </w:p>
    <w:p>
      <w:pPr>
        <w:pStyle w:val="ListBullet"/>
      </w:pPr>
      <w:r>
        <w:t>InsO §§ 174, 305 (Forderungsanmeldung, außergerichtliche Schuldenbereinigung)</w:t>
      </w:r>
    </w:p>
    <w:p>
      <w:pPr>
        <w:pStyle w:val="ListBullet"/>
      </w:pPr>
      <w:r>
        <w:t>dejure.org: BGH XI ZR 349/18 (verbundenes Geschäft bei Pauschalreise)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