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Supervisionsprotokoll Team August 2026</w:t>
      </w:r>
    </w:p>
    <w:p>
      <w:pPr>
        <w:jc w:val="left"/>
      </w:pPr>
      <w:r>
        <w:t>BSBZ Kalk</w:t>
      </w:r>
    </w:p>
    <w:p>
      <w:pPr>
        <w:jc w:val="left"/>
      </w:pPr>
      <w:r>
        <w:t>Supervisionsdatum: 28.08.2026, 14:00–16:00 Uhr</w:t>
      </w:r>
    </w:p>
    <w:p>
      <w:pPr>
        <w:jc w:val="left"/>
      </w:pPr>
      <w:r>
        <w:t>Supervisorin: Monika Griesbach-Feldt (extern, anerkannte Supervisorin BDP)</w:t>
      </w:r>
    </w:p>
    <w:p>
      <w:pPr>
        <w:jc w:val="left"/>
      </w:pPr>
      <w:r>
        <w:t>Protokoll: Hannah Tannenmoor</w:t>
      </w:r>
    </w:p>
    <w:p>
      <w:pPr>
        <w:jc w:val="left"/>
      </w:pPr>
      <w:r>
        <w:t>Teilnehmende: Dr. Pellbach-Tannenfels, Dr. Roosendaal, Tannenmoor, Yildiz-Pohlmann</w:t>
      </w:r>
    </w:p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Fallbesprechung belastende Fälle (August 2026)</w:t>
      </w:r>
    </w:p>
    <w:p>
      <w:pPr>
        <w:pStyle w:val="ListNumber"/>
      </w:pPr>
      <w:r>
        <w:t>Teamentwicklung / Rollenklärung</w:t>
      </w:r>
    </w:p>
    <w:p>
      <w:pPr>
        <w:pStyle w:val="ListNumber"/>
      </w:pPr>
      <w:r>
        <w:t>Organisatorisches / Nächste Sitzung</w:t>
      </w:r>
    </w:p>
    <w:p>
      <w:pPr>
        <w:pStyle w:val="Heading2"/>
      </w:pPr>
      <w:r>
        <w:rPr>
          <w:rFonts w:ascii="Times New Roman" w:hAnsi="Times New Roman"/>
        </w:rPr>
        <w:t>TOP 1: Fallbesprechung belastende Fälle</w:t>
      </w:r>
    </w:p>
    <w:p>
      <w:pPr>
        <w:pStyle w:val="Heading3"/>
      </w:pPr>
      <w:r>
        <w:rPr>
          <w:rFonts w:ascii="Times New Roman" w:hAnsi="Times New Roman"/>
        </w:rPr>
        <w:t>Fall 01 (Energieabsperrung)</w:t>
      </w:r>
    </w:p>
    <w:p>
      <w:pPr>
        <w:jc w:val="left"/>
      </w:pPr>
      <w:r>
        <w:t>Dr. Roosendaal schilderte die emotionale Belastung durch den Kollektivfall: 14 Mietparteien ohne Warmwasser, darunter ältere Menschen und Familien mit Kleinkindern. Die Ohnmacht gegenüber dem säumigen Vermieter und die begrenzte Handlungsfähigkeit (BerH nur für eine Partei) wirkten belastend. Supervisorin Griesbach-Feldt: Reflexion eigener Grenzen; systemische Betrachtung — Beratungsstelle ist kein Vollstrecker. Empfehlung: Kooperation mit Mieterverein stärken; Arbeitsteilung klären.</w:t>
      </w:r>
    </w:p>
    <w:p>
      <w:pPr>
        <w:pStyle w:val="Heading3"/>
      </w:pPr>
      <w:r>
        <w:rPr>
          <w:rFonts w:ascii="Times New Roman" w:hAnsi="Times New Roman"/>
        </w:rPr>
        <w:t>Fall 08 (Grundsicherung Wulfhagen)</w:t>
      </w:r>
    </w:p>
    <w:p>
      <w:pPr>
        <w:jc w:val="left"/>
      </w:pPr>
      <w:r>
        <w:t>Erkan Yildiz-Pohlmann schilderte Hilflosigkeit im "Ping-Pong SGB II/SGB XII": Klient seit 3 Monaten ohne Einkommen, Jobcenter und Sozialamt verweisen sich gegenseitig. Supervisorin: Diese systemische Lücke ist ein bekanntes strukturelles Problem. Ressourcenorientierung: Was konnte die Beratungsstelle erreichen? — Nahtlosigkeitsantrag gestellt, Klage vorbereitet. Das ist real hilfreich. Selbstfürsorge: Belastende Fälle nicht mit nach Hause nehmen.</w:t>
      </w:r>
    </w:p>
    <w:p>
      <w:pPr>
        <w:pStyle w:val="Heading3"/>
      </w:pPr>
      <w:r>
        <w:rPr>
          <w:rFonts w:ascii="Times New Roman" w:hAnsi="Times New Roman"/>
        </w:rPr>
        <w:t>Gesamteindruck Team</w:t>
      </w:r>
    </w:p>
    <w:p>
      <w:pPr>
        <w:jc w:val="left"/>
      </w:pPr>
      <w:r>
        <w:t>Das Team ist hochmotiviert, zeigt aber Anzeichen von emotionaler Erschöpfung (August 2026: Rekordmonat 85 Beratungen). Supervisorin empfiehlt: Beratungskapazität begrenzen (max. 20 Beratungen/Woche je Vollzeitkraft); Intervisions-Format einführen (monatlich, ohne externe Supervisorin).</w:t>
      </w:r>
    </w:p>
    <w:p>
      <w:pPr>
        <w:pStyle w:val="Heading2"/>
      </w:pPr>
      <w:r>
        <w:rPr>
          <w:rFonts w:ascii="Times New Roman" w:hAnsi="Times New Roman"/>
        </w:rPr>
        <w:t>TOP 2: Teamentwicklung / Rollenklärung</w:t>
      </w:r>
    </w:p>
    <w:p>
      <w:pPr>
        <w:pStyle w:val="Heading3"/>
      </w:pPr>
      <w:r>
        <w:rPr>
          <w:rFonts w:ascii="Times New Roman" w:hAnsi="Times New Roman"/>
        </w:rPr>
        <w:t>Diskutierte Punkte</w:t>
      </w:r>
    </w:p>
    <w:p>
      <w:pPr>
        <w:pStyle w:val="ListBullet"/>
      </w:pPr>
      <w:r>
        <w:t>Rollenklärung: Sozialarbeiter (Tannenmoor, Yildiz-Pohlmann) sollen einfache Musterbrief-Entwürfe eigenständig erstellen können (Tannenmoor: Widerspruch Mahnbescheid bereits erprobt, Fall 07).</w:t>
      </w:r>
    </w:p>
    <w:p>
      <w:pPr>
        <w:pStyle w:val="ListBullet"/>
      </w:pPr>
      <w:r>
        <w:t>Rücksprache mit Juristen bei Zweifel verbindlich einzuhalten.</w:t>
      </w:r>
    </w:p>
    <w:p>
      <w:pPr>
        <w:pStyle w:val="ListBullet"/>
      </w:pPr>
      <w:r>
        <w:t>Dolmetscher Suleimani: Wunsch nach klarerem Einbezug in Fallbesprechungen; setzt wichtige soziale Signale wahr.</w:t>
      </w:r>
    </w:p>
    <w:p>
      <w:pPr>
        <w:pStyle w:val="Heading2"/>
      </w:pPr>
      <w:r>
        <w:rPr>
          <w:rFonts w:ascii="Times New Roman" w:hAnsi="Times New Roman"/>
        </w:rPr>
        <w:t>TOP 3: Organisatorisches</w:t>
      </w:r>
    </w:p>
    <w:p>
      <w:pPr>
        <w:pStyle w:val="ListBullet"/>
      </w:pPr>
      <w:r>
        <w:t>Nächste Supervision: 25.09.2026, 14:00 Uhr</w:t>
      </w:r>
    </w:p>
    <w:p>
      <w:pPr>
        <w:pStyle w:val="ListBullet"/>
      </w:pPr>
      <w:r>
        <w:t>Nächstes Interventionsgespräch (intern): 10.09.2026 (Fortbildungsplanung)</w:t>
      </w:r>
    </w:p>
    <w:p>
      <w:pPr>
        <w:pStyle w:val="ListBullet"/>
      </w:pPr>
      <w:r>
        <w:t>Urlaubsvertretung Oktober 2026: Dr. Roosendaal übernimmt Leitungsvertretung</w:t>
      </w:r>
    </w:p>
    <w:p>
      <w:pPr>
        <w:pStyle w:val="Heading2"/>
      </w:pPr>
      <w:r>
        <w:rPr>
          <w:rFonts w:ascii="Times New Roman" w:hAnsi="Times New Roman"/>
        </w:rPr>
        <w:t>Gesamtbewertung</w:t>
      </w:r>
    </w:p>
    <w:p>
      <w:pPr>
        <w:jc w:val="left"/>
      </w:pPr>
      <w:r>
        <w:t>Supervisorin Griesbach-Feldt: Das Team arbeitet auf einem professionellen Niveau; die Fallqualität ist gut. Die strukturellen Belastungen (überbordende Nachfrage, komplexe Mehrfachproblematiken) sind nicht vom Team, sondern von der Stadtpolitik zu lösen. Empfehlung an Dr. Pellbach-Tannenfels: Im Monatsbericht an Stadt Köln auf Kapazitätsgrenzen und Bedarf nach einer dritten Stelle hinweisen.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