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— Monatsbericht an Stadt Köln, Abt. 50</w:t>
      </w:r>
    </w:p>
    <w:p>
      <w:pPr>
        <w:jc w:val="left"/>
      </w:pPr>
      <w:r>
        <w:t>BSBZ Kalk — Rechtsberatungsstelle</w:t>
      </w:r>
    </w:p>
    <w:p>
      <w:pPr>
        <w:jc w:val="left"/>
      </w:pPr>
      <w:r>
        <w:t>Monatsbericht August 2026</w:t>
      </w:r>
    </w:p>
    <w:p>
      <w:pPr>
        <w:jc w:val="left"/>
      </w:pPr>
      <w:r>
        <w:t>An: Stadt Köln, Amt für Soziales und Senioren, Abt. 50 — Beratungswesen</w:t>
      </w:r>
    </w:p>
    <w:p>
      <w:pPr>
        <w:jc w:val="left"/>
      </w:pPr>
      <w:r>
        <w:t>Sachbearbeiterin Auftraggeber: Kerstin Thoma-Rademacher</w:t>
      </w:r>
    </w:p>
    <w:p>
      <w:pPr>
        <w:jc w:val="left"/>
      </w:pPr>
      <w:r>
        <w:t>Az. Stadt Köln: BR-2026-1718</w:t>
      </w:r>
    </w:p>
    <w:p>
      <w:pPr>
        <w:jc w:val="left"/>
      </w:pPr>
      <w:r>
        <w:t>Datum: 29.08.2026</w:t>
      </w:r>
    </w:p>
    <w:p>
      <w:pPr>
        <w:jc w:val="left"/>
      </w:pPr>
      <w:r>
        <w:t>Berichterstatterin: Dr. Annegret Pellbach-Tannenfels</w:t>
      </w:r>
    </w:p>
    <w:p>
      <w:pPr>
        <w:pStyle w:val="Heading2"/>
      </w:pPr>
      <w:r>
        <w:rPr>
          <w:rFonts w:ascii="Times New Roman" w:hAnsi="Times New Roman"/>
        </w:rPr>
        <w:t>1. Überblick</w:t>
      </w:r>
    </w:p>
    <w:p>
      <w:pPr>
        <w:jc w:val="left"/>
      </w:pPr>
      <w:r>
        <w:t xml:space="preserve">Die Rechtsberatungsstelle BSBZ Kalk hat im August 2026 insgesamt </w:t>
      </w:r>
      <w:r>
        <w:rPr>
          <w:b/>
        </w:rPr>
        <w:t>85 Beratungen</w:t>
      </w:r>
      <w:r>
        <w:t xml:space="preserve"> durchgeführt. Dies entspricht einem Anstieg von 9 % gegenüber Juli 2026 (78 Beratungen) und stellt den höchsten Wert seit Eröffnung der Beratungsstelle im Jahr 2021 dar. Die Kapazitätsgrenze wurde überschritten; an mehreren Tagen mussten Klienten auf Folgetermine verwiesen werden.</w:t>
      </w:r>
    </w:p>
    <w:p>
      <w:pPr>
        <w:pStyle w:val="Heading2"/>
      </w:pPr>
      <w:r>
        <w:rPr>
          <w:rFonts w:ascii="Times New Roman" w:hAnsi="Times New Roman"/>
        </w:rPr>
        <w:t>2. Statistische Kennzahlen</w:t>
      </w:r>
    </w:p>
    <w:p>
      <w:pPr>
        <w:jc w:val="left"/>
      </w:pPr>
      <w:r>
        <w:t>Beratungen gesamt: 85</w:t>
      </w:r>
    </w:p>
    <w:p>
      <w:pPr>
        <w:jc w:val="left"/>
      </w:pPr>
      <w:r>
        <w:t>Erstberatungen: 52</w:t>
      </w:r>
    </w:p>
    <w:p>
      <w:pPr>
        <w:jc w:val="left"/>
      </w:pPr>
      <w:r>
        <w:t>Folgeberatungen: 33</w:t>
      </w:r>
    </w:p>
    <w:p>
      <w:pPr>
        <w:jc w:val="left"/>
      </w:pPr>
      <w:r>
        <w:t>Beratungshilfe-Anträge: 12; bewilligt: 10</w:t>
      </w:r>
    </w:p>
    <w:p>
      <w:pPr>
        <w:jc w:val="left"/>
      </w:pPr>
      <w:r>
        <w:t>Vermittlungen extern: 11 (Mieterverein 3; Schuldnerberatung 2; Fachanwalt 3; Behörden 3)</w:t>
      </w:r>
    </w:p>
    <w:p>
      <w:pPr>
        <w:jc w:val="left"/>
      </w:pPr>
      <w:r>
        <w:t>Durchschnittliche Beratungsdauer: 38 Minuten</w:t>
      </w:r>
    </w:p>
    <w:p>
      <w:pPr>
        <w:jc w:val="left"/>
      </w:pPr>
      <w:r>
        <w:t>Anteil mit Migrationshintergrund: 41 %</w:t>
      </w:r>
    </w:p>
    <w:p>
      <w:pPr>
        <w:jc w:val="left"/>
      </w:pPr>
      <w:r>
        <w:t>Anteil mit Kindern im Haushalt: 34 %</w:t>
      </w:r>
    </w:p>
    <w:p>
      <w:pPr>
        <w:pStyle w:val="Heading2"/>
      </w:pPr>
      <w:r>
        <w:rPr>
          <w:rFonts w:ascii="Times New Roman" w:hAnsi="Times New Roman"/>
        </w:rPr>
        <w:t>3. Schwerpunktthemen</w:t>
      </w:r>
    </w:p>
    <w:p>
      <w:pPr>
        <w:jc w:val="left"/>
      </w:pPr>
      <w:r>
        <w:rPr>
          <w:b/>
        </w:rPr>
        <w:t>3.1 SGB II / Bürgergeld:</w:t>
      </w:r>
      <w:r>
        <w:t xml:space="preserve"> Mit 22 Beratungen (25,9 %) bleibt das Bürgergeldrecht das häufigste Rechtsgebiet. Im August dominierte ein Fall (AZ BSBZ-2026-08-0289): Rückforderung 8.400 EUR durch Jobcenter; Widerspruch erfolgreich eingelegt. Die Rückforderungspraxis des Jobcenter Köln bei automatischen Datenabfragen nach § 52 SGB II hat in diesem Monat zu drei Fällen geführt.</w:t>
      </w:r>
    </w:p>
    <w:p>
      <w:pPr>
        <w:jc w:val="left"/>
      </w:pPr>
      <w:r>
        <w:rPr>
          <w:b/>
        </w:rPr>
        <w:t>3.2 Mietrecht:</w:t>
      </w:r>
      <w:r>
        <w:t xml:space="preserve"> 18 Beratungen (21,2 %). Der Kölner Wohnungsmarkt bleibt angespannt; Eigenbedarfskündigungen (2 Fälle) und Energieversorgungsprobleme (1 Kollektivfall, 14 Mietparteien) belasteten das Team besonders.</w:t>
      </w:r>
    </w:p>
    <w:p>
      <w:pPr>
        <w:jc w:val="left"/>
      </w:pPr>
      <w:r>
        <w:rPr>
          <w:b/>
        </w:rPr>
        <w:t>3.3 Ausländerrecht:</w:t>
      </w:r>
      <w:r>
        <w:t xml:space="preserve"> 8 Beratungen (9,4 %), überdurchschnittlich für die Beratungsstelle. Komplexe AufenthG-Konstellationen (Niederlassungserlaubnis nach Jobverlust) erfordern verstärkte juristische Kapazität und Dolmetscher. Herr Suleimani war im August an 14 Beratungen beteiligt.</w:t>
      </w:r>
    </w:p>
    <w:p>
      <w:pPr>
        <w:pStyle w:val="Heading2"/>
      </w:pPr>
      <w:r>
        <w:rPr>
          <w:rFonts w:ascii="Times New Roman" w:hAnsi="Times New Roman"/>
        </w:rPr>
        <w:t>4. Qualitätssicherung</w:t>
      </w:r>
    </w:p>
    <w:p>
      <w:pPr>
        <w:jc w:val="left"/>
      </w:pPr>
      <w:r>
        <w:t>Alle dokumentierten Fälle wurden durch Volljuristen (Dr. Pellbach-Tannenfels oder Dr. Roosendaal) überprüft. Supervision fand am 28.08.2026 statt (externe Supervisorin Griesbach-Feldt). Fortbildungsplanung September–Oktober 2026 ist beschlossen.</w:t>
      </w:r>
    </w:p>
    <w:p>
      <w:pPr>
        <w:pStyle w:val="Heading2"/>
      </w:pPr>
      <w:r>
        <w:rPr>
          <w:rFonts w:ascii="Times New Roman" w:hAnsi="Times New Roman"/>
        </w:rPr>
        <w:t>5. Ressourcenbedarf</w:t>
      </w:r>
    </w:p>
    <w:p>
      <w:pPr>
        <w:jc w:val="left"/>
      </w:pPr>
      <w:r>
        <w:t>Die Beratungsstelle betreibt derzeit 2 Volljuristenstellen (eine davon Leitungsstelle), 2 Sozialarbeiterstellen (je 0,75 VZÄ) und 1 Dolmetscher (0,5 VZÄ). Bei 85 Beratungen im Monat und durchschnittlich 38 Minuten Dauer ergibt sich eine Gesamtberatungszeit von ca. 54 Stunden/Monat — zuzüglich Vor-/Nachbereitung und Korrespondenz.</w:t>
      </w:r>
    </w:p>
    <w:p>
      <w:pPr>
        <w:jc w:val="left"/>
      </w:pPr>
      <w:r>
        <w:rPr>
          <w:b/>
        </w:rPr>
        <w:t>Empfehlung:</w:t>
      </w:r>
      <w:r>
        <w:t xml:space="preserve"> Die Beratungsstelle beantragt die Einrichtung einer dritten Volljuristenstelle (0,5 VZÄ) ab Januar 2027. Begründung: steigende Fallzahlen, komplexer werdende Fälle (SGB II + AufenthG), Überlastungsgefährdung (Supervisionsprotokoll August 2026).</w:t>
      </w:r>
    </w:p>
    <w:p>
      <w:pPr>
        <w:pStyle w:val="Heading2"/>
      </w:pPr>
      <w:r>
        <w:rPr>
          <w:rFonts w:ascii="Times New Roman" w:hAnsi="Times New Roman"/>
        </w:rPr>
        <w:t>6. Ausblick September 2026</w:t>
      </w:r>
    </w:p>
    <w:p>
      <w:pPr>
        <w:pStyle w:val="ListBullet"/>
      </w:pPr>
      <w:r>
        <w:t>Abschluss Widerspruchsverfahren Fall 02 (Jobcenter) erwartet</w:t>
      </w:r>
    </w:p>
    <w:p>
      <w:pPr>
        <w:pStyle w:val="ListBullet"/>
      </w:pPr>
      <w:r>
        <w:t>Entscheidung AG Köln zu PKH-Antrag Fall 04</w:t>
      </w:r>
    </w:p>
    <w:p>
      <w:pPr>
        <w:pStyle w:val="ListBullet"/>
      </w:pPr>
      <w:r>
        <w:t>Ggf. einstweilige Verfügung Fall 01 (Energieabsperrung)</w:t>
      </w:r>
    </w:p>
    <w:p>
      <w:pPr>
        <w:pStyle w:val="ListBullet"/>
      </w:pPr>
      <w:r>
        <w:t>Teamfortbildung SGB XII-Reform Oktober 2026</w:t>
      </w:r>
    </w:p>
    <w:p>
      <w:pPr>
        <w:pStyle w:val="Heading2"/>
      </w:pPr>
      <w:r>
        <w:rPr>
          <w:rFonts w:ascii="Times New Roman" w:hAnsi="Times New Roman"/>
        </w:rPr>
        <w:t>Anlage</w:t>
      </w:r>
    </w:p>
    <w:p>
      <w:pPr>
        <w:jc w:val="left"/>
      </w:pPr>
      <w:r>
        <w:t>Vollständige Monatsstatistik: → Aktenstück 19 (19-statistik-monat-august-2026.md)</w:t>
      </w:r>
    </w:p>
    <w:p>
      <w:pPr>
        <w:jc w:val="left"/>
      </w:pPr>
      <w:r>
        <w:t>Fallübersicht: → xlsx/falluebersicht-august-2026.xlsx</w:t>
      </w:r>
    </w:p>
    <w:p>
      <w:pPr>
        <w:jc w:val="left"/>
      </w:pPr>
      <w:r>
        <w:t>Mit freundlichen Grüßen</w:t>
      </w:r>
    </w:p>
    <w:p>
      <w:pPr>
        <w:jc w:val="left"/>
      </w:pPr>
      <w:r>
        <w:t>Dr. Annegret Pellbach-Tannenfels</w:t>
      </w:r>
    </w:p>
    <w:p>
      <w:pPr>
        <w:jc w:val="left"/>
      </w:pPr>
      <w:r>
        <w:t>Leiterin BSBZ Kalk</w:t>
      </w:r>
    </w:p>
    <w:p>
      <w:pPr>
        <w:jc w:val="left"/>
      </w:pPr>
      <w:r>
        <w:t>Tel.: 0221 9921-4400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