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Bestandsaufnahme Durchführungswege</w:t>
      </w:r>
    </w:p>
    <w:p>
      <w:pPr>
        <w:jc w:val="left"/>
      </w:pPr>
      <w:r>
        <w:t>Direktversicherung Altbestand 2004 bis 2018: 63 Verträge bei Hanse Merkur Leben, überwiegend arbeitnehmerfinanziert, teilweise pauschal versteuert, Abschluss über früheren Versicherungsmakler Krauß. Unterlagen uneinheitlich. Bei 17 Verträgen fehlt die unterschriebene Entgeltumwandlungsvereinbarung in der Personalakte.</w:t>
      </w:r>
    </w:p>
    <w:p>
      <w:pPr>
        <w:jc w:val="left"/>
      </w:pPr>
      <w:r>
        <w:t>Arbeitgeberfinanzierte Zusage Pflegedienstleitung 2012: Schriftliche Versorgungsordnung "Leitung Plus". Danach zahlt die Arbeitgeberin 80 EUR monatlich in eine Direktversicherung für Pflegedienstleitungen nach bestandener Probezeit. Unklar ist, ob stellvertretende Leitungen einbezogen sind. Seit 2018 erhielten zwei stellvertretende Leitungen Zahlungen, andere nicht.</w:t>
      </w:r>
    </w:p>
    <w:p>
      <w:pPr>
        <w:jc w:val="left"/>
      </w:pPr>
      <w:r>
        <w:t>Pensionskasse 2020: Standardprodukt über SaalePension Pensionskasse AG. Entgeltumwandlung zwischen 40 und 250 EUR monatlich. Arbeitgeberzuschuss in der Mustervereinbarung vorgesehen, aber in der Lohnart 904 nur für 39 aktive Fälle automatisiert. Bei Teilzeitkräften wurden Zuschüsse rechnerisch gekürzt, obwohl die Umwandlung aus tatsächlichem Entgelt erfolgte.</w:t>
      </w:r>
    </w:p>
    <w:p>
      <w:pPr>
        <w:jc w:val="left"/>
      </w:pPr>
      <w:r>
        <w:t>Offene Kernfragen: Anspruch auf Entgeltumwandlung, Zuschusslogik bei ersparten Sozialversicherungsbeiträgen, Gleichbehandlung bei arbeitgeberfinanzierter Leitungsebene, Anpassungs- und Informationspflichten, Umgang mit Altzusagen, Dokumentation für Betriebsprüfung und Mitarbeiterkommunikation.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