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Beratungsmemo Entwurf</w:t>
      </w:r>
    </w:p>
    <w:p>
      <w:pPr>
        <w:jc w:val="left"/>
      </w:pPr>
      <w:r>
        <w:t>Ausgangslage: PflegeZeit Saale GmbH hat kein einheitliches bAV-System. Die Altverträge sind nicht per se falsch, aber die Dokumentation und die Zuschusslogik sind lückenhaft. Für die weitere Beratung sind drei Ebenen zu trennen: bestehende individual- oder kollektivrechtliche Zusagen, gesetzlicher beziehungsweise vertraglicher Zuschuss bei Entgeltumwandlung und zukünftige Versorgungsordnung.</w:t>
      </w:r>
    </w:p>
    <w:p>
      <w:pPr>
        <w:jc w:val="left"/>
      </w:pPr>
      <w:r>
        <w:t>Erste Einschätzung: Die handschriftliche beziehungsweise schriftliche Zusage an Karin Menzel ist ernst zu nehmen. Der Wortlaut spricht eher für eine individuelle Zusage von 100 EUR monatlich, nicht nur für die allgemeine Versorgungsordnung mit 80 EUR. Vor einer Nachzahlung ist zu prüfen, ob die Versicherung tatsächlich nur 80 EUR erhielt und ob Lohnunterlagen eine spätere Änderungsvereinbarung enthalten.</w:t>
      </w:r>
    </w:p>
    <w:p>
      <w:pPr>
        <w:jc w:val="left"/>
      </w:pPr>
      <w:r>
        <w:t>Bei den Entgeltumwandlungsfällen muss die Lohnabrechnung jeden Vertrag einzeln prüfen. Die Zahlung nur auf Nachfrage ist kein tragfähiges System. Für die Vergangenheit sollte eine Nachberechnung mit klarer Bagatellgrenze, Belegliste und Freigabe der Geschäftsführung vorbereitet werden. Die Personalabteilung braucht eine Matrix: Umwandlungsbetrag, ersparte Sozialversicherungsbeiträge, gezahlter Zuschuss, Differenz, Verjährungsrisiko, Kommunikationslinie.</w:t>
      </w:r>
    </w:p>
    <w:p>
      <w:pPr>
        <w:jc w:val="left"/>
      </w:pPr>
      <w:r>
        <w:t>Für die Zukunft empfiehlt sich eine kurze Versorgungsordnung mit Durchführungsweg, Anspruchsberechtigung, Zuschussmechanik, Teilzeit- und Ruhensfällen, Arbeitgeberwechsel, Informationsprozess und jährlicher Kontrollliste. Altzusagen sollten in einer Anlage dokumentiert und ausdrücklich nicht versehentlich abgelöst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