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Medizinischer Stand Erwerbsminderung</w:t>
      </w:r>
    </w:p>
    <w:p>
      <w:pPr>
        <w:jc w:val="left"/>
      </w:pPr>
      <w:r>
        <w:t>Herzinfarkt NSTEMI am 12.02.2026, Stent RCA, Reha Bad Sassendorf 20.03. bis 10.04.2026. Kardiologisch leichte Tätigkeiten vier bis sechs Stunden möglich, aber keine Baustellen, keine Hitze/Kälte, keine langen Wege, kein erheblicher Stress. Psychiatrischer Befund Dr. Schulte vom 22.06.2026: depressive Episode, Panik bei Baustellengeräuschen, Schlafstörung, Konzentrationsminderung. Hausarzt hält Rückkehr in Projektleitung derzeit für ausgeschlossen.</w:t>
      </w:r>
    </w:p>
    <w:p>
      <w:pPr>
        <w:jc w:val="left"/>
      </w:pPr>
      <w:r>
        <w:t>Rentenrechtlich offen: volle Erwerbsminderung, teilweise Erwerbsminderung, Leistungen zur Teilhabe, Nahtlosigkeit bis zur Entscheidung. Das bisherige Berufsbild war nicht körperlich schwer, aber hochstressig, mit Baustellenwegen, Konflikten und Terminverantwortung.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