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Beratungsmemo Entwurf</w:t>
      </w:r>
    </w:p>
    <w:p>
      <w:pPr>
        <w:jc w:val="left"/>
      </w:pPr>
      <w:r>
        <w:t>Der Fall sollte in drei Stränge getrennt, aber gemeinsam gesteuert werden. Erstens Status 2022 bis 2024: Eine rückwirkende Beschäftigung kann Beiträge und Rentenpunkte erzeugen, aber auch steuerliche und beitragsrechtliche Korrekturen auslösen. Für den Mandanten ist nicht automatisch jedes Anerkenntnis günstig. Es braucht eine Netto- und Beitragsfolgenrechnung.</w:t>
      </w:r>
    </w:p>
    <w:p>
      <w:pPr>
        <w:jc w:val="left"/>
      </w:pPr>
      <w:r>
        <w:t>Zweitens Betriebsrente: Die Dienstzeit 1994 bis 2001 ist der wirtschaftlich wahrscheinlich wichtigste Korrekturpunkt. Hier geht es nicht um Sozialversicherung, sondern um Versorgungsordnung, Betriebsübergang und Zusageauslegung. Die Versorgungskasse verlangt Belege; diese sind beschaffbar.</w:t>
      </w:r>
    </w:p>
    <w:p>
      <w:pPr>
        <w:jc w:val="left"/>
      </w:pPr>
      <w:r>
        <w:t>Drittens Erwerbsminderung: Die medizinische Akte darf nicht im Statusstreit untergehen. Für die DRV ist das Leistungsvermögen auf dem allgemeinen Arbeitsmarkt entscheidend. Herzleistung, psychische Belastbarkeit, Wegefähigkeit und Stressintoleranz müssen funktional beschrieben werden.</w:t>
      </w:r>
    </w:p>
    <w:p>
      <w:pPr>
        <w:jc w:val="left"/>
      </w:pPr>
      <w:r>
        <w:t>Empfehlung: Akteneinsicht in der Betriebsprüfung, Auskunft Versorgungskasse mit konkreten Unterlagen, fristwahrender EM-Widerspruch falls Ablehnung kommt, Krankengeld- und Reha-Fristen separat überwachen.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