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und Fristsache</w:t>
      </w:r>
    </w:p>
    <w:p>
      <w:pPr>
        <w:jc w:val="left"/>
      </w:pPr>
      <w:r>
        <w:t>Mandantin ist die RuhrKurier GmbH, Viehofer Platz 12, 45127 Essen. Geschäftsführer ist Martin Kellermann, kaufmännische Leitung liegt bei Susanne Breuer. Das Unternehmen organisiert seit 2023 innerstädtische Fahrrad- und E-Scooter-Kurierfahrten für Apotheken, Labore, kleine Gastronomiebetriebe und zwei Kanzleien. Die Touren werden über eine App angenommen. Die Fahrer rechnen wöchentlich über Gutschriften ab.</w:t>
      </w:r>
    </w:p>
    <w:p>
      <w:pPr>
        <w:jc w:val="left"/>
      </w:pPr>
      <w:r>
        <w:t>Am 24.06.2026 ging eine Anhörung der Deutschen Rentenversicherung Bund aus einer Betriebsprüfung ein. Zugang nach Posteingangsbuch am 26.06.2026. Frist zur Stellungnahme: 17.07.2026, Verlängerungsantrag am 30.06.2026 gestellt, noch nicht beschieden. Prüffokus: Selim Özkan und 17 weitere Kuriere in der Zeit 01.01.2024 bis 31.03.2026. Die Prüferin sieht eine Eingliederung in die Betriebsorganisation, weil Zeitfenster, Tourenpriorität, Kleidung, App-Tracking und Beschwerdemanagement zentral vorgegeben gewesen seien.</w:t>
      </w:r>
    </w:p>
    <w:p>
      <w:pPr>
        <w:jc w:val="left"/>
      </w:pPr>
      <w:r>
        <w:t>Besondere Lage: Selim Özkan hat ab Oktober 2025 fast ausschließlich für RuhrKurier gefahren. In den Monaten November 2025 bis März 2026 liegen zwischen 126 und 151 Touren je Monat vor. Er hatte ein eigenes E-Bike, nutzte aber eine von RuhrKurier gestellte Thermobox mit Logo. In zwei Chats heißt es, er müsse die Apothekentouren "bitte fest übernehmen". Andererseits konnte er einzelne Touren ablehnen, hatte keine Mindeststunden, trug Reparaturkosten selbst und stellte im Dezember 2025 eine Aushilfe, die drei Touren fuhr.</w:t>
      </w:r>
    </w:p>
    <w:p>
      <w:pPr>
        <w:jc w:val="left"/>
      </w:pPr>
      <w:r>
        <w:t>Ziel der Bearbeitung: Zunächst eine belastbare Stellungnahme zur Anhörung, hilfsweise Begrenzung des Nachforderungszeitraums und Trennung der Fallgruppen. Keine pauschale Verteidigung aller Fahrer. Für Selim Özkan muss die Akte sauber zwischen tatsächlicher Durchführung, Vertragslage und späterer Verdichtung unterscheiden. Mandantin will keine Eskalation mit den Fahrern, weil drei von ihnen inzwischen angestellt sind.</w:t>
      </w:r>
    </w:p>
    <w:p>
      <w:pPr>
        <w:jc w:val="left"/>
      </w:pPr>
      <w:r>
        <w:t>Unterlagen offen: vollständige App-Logs, Versicherungsnachweise der Fahrer, Nachweis eigener Werbung von Özkan, Kopie des Rahmenvertrags 2024, Beschwerdeprotokolle der Apothekenkunden und die Gutschriften April bis Juni 2026. Fristkalender separat führen.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