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Anlagenverzeichnis für Übersetzungsmappe</w:t>
      </w:r>
    </w:p>
    <w:p>
      <w:pPr>
        <w:pStyle w:val="Heading2"/>
      </w:pPr>
      <w:r>
        <w:rPr>
          <w:rFonts w:ascii="Times New Roman" w:hAnsi="Times New Roman"/>
        </w:rPr>
        <w:t>1. Mappe für die DRV</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Anlage</w:t>
            </w:r>
          </w:p>
        </w:tc>
        <w:tc>
          <w:tcPr>
            <w:tcW w:type="dxa" w:w="1814"/>
          </w:tcPr>
          <w:p>
            <w:r>
              <w:rPr>
                <w:rFonts w:ascii="Times New Roman" w:hAnsi="Times New Roman"/>
                <w:b/>
                <w:sz w:val="20"/>
              </w:rPr>
              <w:t>Dokument</w:t>
            </w:r>
          </w:p>
        </w:tc>
        <w:tc>
          <w:tcPr>
            <w:tcW w:type="dxa" w:w="1814"/>
          </w:tcPr>
          <w:p>
            <w:r>
              <w:rPr>
                <w:rFonts w:ascii="Times New Roman" w:hAnsi="Times New Roman"/>
                <w:b/>
                <w:sz w:val="20"/>
              </w:rPr>
              <w:t>Sprache</w:t>
            </w:r>
          </w:p>
        </w:tc>
        <w:tc>
          <w:tcPr>
            <w:tcW w:type="dxa" w:w="1814"/>
          </w:tcPr>
          <w:p>
            <w:r>
              <w:rPr>
                <w:rFonts w:ascii="Times New Roman" w:hAnsi="Times New Roman"/>
                <w:b/>
                <w:sz w:val="20"/>
              </w:rPr>
              <w:t>Bearbeitungsstand</w:t>
            </w:r>
          </w:p>
        </w:tc>
        <w:tc>
          <w:tcPr>
            <w:tcW w:type="dxa" w:w="1814"/>
          </w:tcPr>
          <w:p>
            <w:r>
              <w:rPr>
                <w:rFonts w:ascii="Times New Roman" w:hAnsi="Times New Roman"/>
                <w:b/>
                <w:sz w:val="20"/>
              </w:rPr>
              <w:t>Zweck</w:t>
            </w:r>
          </w:p>
        </w:tc>
      </w:tr>
      <w:tr>
        <w:tc>
          <w:tcPr>
            <w:tcW w:type="dxa" w:w="1814"/>
          </w:tcPr>
          <w:p>
            <w:r>
              <w:rPr>
                <w:rFonts w:ascii="Times New Roman" w:hAnsi="Times New Roman"/>
                <w:sz w:val="20"/>
              </w:rPr>
              <w:t>1</w:t>
            </w:r>
          </w:p>
        </w:tc>
        <w:tc>
          <w:tcPr>
            <w:tcW w:type="dxa" w:w="1814"/>
          </w:tcPr>
          <w:p>
            <w:r>
              <w:rPr>
                <w:rFonts w:ascii="Times New Roman" w:hAnsi="Times New Roman"/>
                <w:sz w:val="20"/>
              </w:rPr>
              <w:t>Arbeitsbuch Seiten 7, 8, 11, 13, 15</w:t>
            </w:r>
          </w:p>
        </w:tc>
        <w:tc>
          <w:tcPr>
            <w:tcW w:type="dxa" w:w="1814"/>
          </w:tcPr>
          <w:p>
            <w:r>
              <w:rPr>
                <w:rFonts w:ascii="Times New Roman" w:hAnsi="Times New Roman"/>
                <w:sz w:val="20"/>
              </w:rPr>
              <w:t>Russisch</w:t>
            </w:r>
          </w:p>
        </w:tc>
        <w:tc>
          <w:tcPr>
            <w:tcW w:type="dxa" w:w="1814"/>
          </w:tcPr>
          <w:p>
            <w:r>
              <w:rPr>
                <w:rFonts w:ascii="Times New Roman" w:hAnsi="Times New Roman"/>
                <w:sz w:val="20"/>
              </w:rPr>
              <w:t>beglaubigte Übersetzung vorhanden</w:t>
            </w:r>
          </w:p>
        </w:tc>
        <w:tc>
          <w:tcPr>
            <w:tcW w:type="dxa" w:w="1814"/>
          </w:tcPr>
          <w:p>
            <w:r>
              <w:rPr>
                <w:rFonts w:ascii="Times New Roman" w:hAnsi="Times New Roman"/>
                <w:sz w:val="20"/>
              </w:rPr>
              <w:t>Beschäftigung und Tätigkeit</w:t>
            </w:r>
          </w:p>
        </w:tc>
      </w:tr>
      <w:tr>
        <w:tc>
          <w:tcPr>
            <w:tcW w:type="dxa" w:w="1814"/>
          </w:tcPr>
          <w:p>
            <w:r>
              <w:rPr>
                <w:rFonts w:ascii="Times New Roman" w:hAnsi="Times New Roman"/>
                <w:sz w:val="20"/>
              </w:rPr>
              <w:t>2</w:t>
            </w:r>
          </w:p>
        </w:tc>
        <w:tc>
          <w:tcPr>
            <w:tcW w:type="dxa" w:w="1814"/>
          </w:tcPr>
          <w:p>
            <w:r>
              <w:rPr>
                <w:rFonts w:ascii="Times New Roman" w:hAnsi="Times New Roman"/>
                <w:sz w:val="20"/>
              </w:rPr>
              <w:t>Archivbescheinigung Nowosibirsk 1994</w:t>
            </w:r>
          </w:p>
        </w:tc>
        <w:tc>
          <w:tcPr>
            <w:tcW w:type="dxa" w:w="1814"/>
          </w:tcPr>
          <w:p>
            <w:r>
              <w:rPr>
                <w:rFonts w:ascii="Times New Roman" w:hAnsi="Times New Roman"/>
                <w:sz w:val="20"/>
              </w:rPr>
              <w:t>Russisch</w:t>
            </w:r>
          </w:p>
        </w:tc>
        <w:tc>
          <w:tcPr>
            <w:tcW w:type="dxa" w:w="1814"/>
          </w:tcPr>
          <w:p>
            <w:r>
              <w:rPr>
                <w:rFonts w:ascii="Times New Roman" w:hAnsi="Times New Roman"/>
                <w:sz w:val="20"/>
              </w:rPr>
              <w:t>alte Übersetzung, neue Prüfung nötig</w:t>
            </w:r>
          </w:p>
        </w:tc>
        <w:tc>
          <w:tcPr>
            <w:tcW w:type="dxa" w:w="1814"/>
          </w:tcPr>
          <w:p>
            <w:r>
              <w:rPr>
                <w:rFonts w:ascii="Times New Roman" w:hAnsi="Times New Roman"/>
                <w:sz w:val="20"/>
              </w:rPr>
              <w:t>Beitrags- und Beschäftigungsnachweis</w:t>
            </w:r>
          </w:p>
        </w:tc>
      </w:tr>
      <w:tr>
        <w:tc>
          <w:tcPr>
            <w:tcW w:type="dxa" w:w="1814"/>
          </w:tcPr>
          <w:p>
            <w:r>
              <w:rPr>
                <w:rFonts w:ascii="Times New Roman" w:hAnsi="Times New Roman"/>
                <w:sz w:val="20"/>
              </w:rPr>
              <w:t>3</w:t>
            </w:r>
          </w:p>
        </w:tc>
        <w:tc>
          <w:tcPr>
            <w:tcW w:type="dxa" w:w="1814"/>
          </w:tcPr>
          <w:p>
            <w:r>
              <w:rPr>
                <w:rFonts w:ascii="Times New Roman" w:hAnsi="Times New Roman"/>
                <w:sz w:val="20"/>
              </w:rPr>
              <w:t>Bescheinigung Umstrukturierung Kombinat</w:t>
            </w:r>
          </w:p>
        </w:tc>
        <w:tc>
          <w:tcPr>
            <w:tcW w:type="dxa" w:w="1814"/>
          </w:tcPr>
          <w:p>
            <w:r>
              <w:rPr>
                <w:rFonts w:ascii="Times New Roman" w:hAnsi="Times New Roman"/>
                <w:sz w:val="20"/>
              </w:rPr>
              <w:t>Russisch</w:t>
            </w:r>
          </w:p>
        </w:tc>
        <w:tc>
          <w:tcPr>
            <w:tcW w:type="dxa" w:w="1814"/>
          </w:tcPr>
          <w:p>
            <w:r>
              <w:rPr>
                <w:rFonts w:ascii="Times New Roman" w:hAnsi="Times New Roman"/>
                <w:sz w:val="20"/>
              </w:rPr>
              <w:t>noch anzufordern</w:t>
            </w:r>
          </w:p>
        </w:tc>
        <w:tc>
          <w:tcPr>
            <w:tcW w:type="dxa" w:w="1814"/>
          </w:tcPr>
          <w:p>
            <w:r>
              <w:rPr>
                <w:rFonts w:ascii="Times New Roman" w:hAnsi="Times New Roman"/>
                <w:sz w:val="20"/>
              </w:rPr>
              <w:t>Abweichende Archivnummer erklären</w:t>
            </w:r>
          </w:p>
        </w:tc>
      </w:tr>
      <w:tr>
        <w:tc>
          <w:tcPr>
            <w:tcW w:type="dxa" w:w="1814"/>
          </w:tcPr>
          <w:p>
            <w:r>
              <w:rPr>
                <w:rFonts w:ascii="Times New Roman" w:hAnsi="Times New Roman"/>
                <w:sz w:val="20"/>
              </w:rPr>
              <w:t>4</w:t>
            </w:r>
          </w:p>
        </w:tc>
        <w:tc>
          <w:tcPr>
            <w:tcW w:type="dxa" w:w="1814"/>
          </w:tcPr>
          <w:p>
            <w:r>
              <w:rPr>
                <w:rFonts w:ascii="Times New Roman" w:hAnsi="Times New Roman"/>
                <w:sz w:val="20"/>
              </w:rPr>
              <w:t>Diplom Kältetechnik</w:t>
            </w:r>
          </w:p>
        </w:tc>
        <w:tc>
          <w:tcPr>
            <w:tcW w:type="dxa" w:w="1814"/>
          </w:tcPr>
          <w:p>
            <w:r>
              <w:rPr>
                <w:rFonts w:ascii="Times New Roman" w:hAnsi="Times New Roman"/>
                <w:sz w:val="20"/>
              </w:rPr>
              <w:t>Russisch</w:t>
            </w:r>
          </w:p>
        </w:tc>
        <w:tc>
          <w:tcPr>
            <w:tcW w:type="dxa" w:w="1814"/>
          </w:tcPr>
          <w:p>
            <w:r>
              <w:rPr>
                <w:rFonts w:ascii="Times New Roman" w:hAnsi="Times New Roman"/>
                <w:sz w:val="20"/>
              </w:rPr>
              <w:t>Übersetzung von 1993 unscharf</w:t>
            </w:r>
          </w:p>
        </w:tc>
        <w:tc>
          <w:tcPr>
            <w:tcW w:type="dxa" w:w="1814"/>
          </w:tcPr>
          <w:p>
            <w:r>
              <w:rPr>
                <w:rFonts w:ascii="Times New Roman" w:hAnsi="Times New Roman"/>
                <w:sz w:val="20"/>
              </w:rPr>
              <w:t>Qualifikationsgruppe</w:t>
            </w:r>
          </w:p>
        </w:tc>
      </w:tr>
      <w:tr>
        <w:tc>
          <w:tcPr>
            <w:tcW w:type="dxa" w:w="1814"/>
          </w:tcPr>
          <w:p>
            <w:r>
              <w:rPr>
                <w:rFonts w:ascii="Times New Roman" w:hAnsi="Times New Roman"/>
                <w:sz w:val="20"/>
              </w:rPr>
              <w:t>5</w:t>
            </w:r>
          </w:p>
        </w:tc>
        <w:tc>
          <w:tcPr>
            <w:tcW w:type="dxa" w:w="1814"/>
          </w:tcPr>
          <w:p>
            <w:r>
              <w:rPr>
                <w:rFonts w:ascii="Times New Roman" w:hAnsi="Times New Roman"/>
                <w:sz w:val="20"/>
              </w:rPr>
              <w:t>Arbeitsamtsunterlagen 1992 bis 1994</w:t>
            </w:r>
          </w:p>
        </w:tc>
        <w:tc>
          <w:tcPr>
            <w:tcW w:type="dxa" w:w="1814"/>
          </w:tcPr>
          <w:p>
            <w:r>
              <w:rPr>
                <w:rFonts w:ascii="Times New Roman" w:hAnsi="Times New Roman"/>
                <w:sz w:val="20"/>
              </w:rPr>
              <w:t>Deutsch</w:t>
            </w:r>
          </w:p>
        </w:tc>
        <w:tc>
          <w:tcPr>
            <w:tcW w:type="dxa" w:w="1814"/>
          </w:tcPr>
          <w:p>
            <w:r>
              <w:rPr>
                <w:rFonts w:ascii="Times New Roman" w:hAnsi="Times New Roman"/>
                <w:sz w:val="20"/>
              </w:rPr>
              <w:t>teilweise vorhanden</w:t>
            </w:r>
          </w:p>
        </w:tc>
        <w:tc>
          <w:tcPr>
            <w:tcW w:type="dxa" w:w="1814"/>
          </w:tcPr>
          <w:p>
            <w:r>
              <w:rPr>
                <w:rFonts w:ascii="Times New Roman" w:hAnsi="Times New Roman"/>
                <w:sz w:val="20"/>
              </w:rPr>
              <w:t>Eingliederungsphase</w:t>
            </w:r>
          </w:p>
        </w:tc>
      </w:tr>
      <w:tr>
        <w:tc>
          <w:tcPr>
            <w:tcW w:type="dxa" w:w="1814"/>
          </w:tcPr>
          <w:p>
            <w:r>
              <w:rPr>
                <w:rFonts w:ascii="Times New Roman" w:hAnsi="Times New Roman"/>
                <w:sz w:val="20"/>
              </w:rPr>
              <w:t>6</w:t>
            </w:r>
          </w:p>
        </w:tc>
        <w:tc>
          <w:tcPr>
            <w:tcW w:type="dxa" w:w="1814"/>
          </w:tcPr>
          <w:p>
            <w:r>
              <w:rPr>
                <w:rFonts w:ascii="Times New Roman" w:hAnsi="Times New Roman"/>
                <w:sz w:val="20"/>
              </w:rPr>
              <w:t>Deutsche Arbeitgeberbescheinigungen</w:t>
            </w:r>
          </w:p>
        </w:tc>
        <w:tc>
          <w:tcPr>
            <w:tcW w:type="dxa" w:w="1814"/>
          </w:tcPr>
          <w:p>
            <w:r>
              <w:rPr>
                <w:rFonts w:ascii="Times New Roman" w:hAnsi="Times New Roman"/>
                <w:sz w:val="20"/>
              </w:rPr>
              <w:t>Deutsch</w:t>
            </w:r>
          </w:p>
        </w:tc>
        <w:tc>
          <w:tcPr>
            <w:tcW w:type="dxa" w:w="1814"/>
          </w:tcPr>
          <w:p>
            <w:r>
              <w:rPr>
                <w:rFonts w:ascii="Times New Roman" w:hAnsi="Times New Roman"/>
                <w:sz w:val="20"/>
              </w:rPr>
              <w:t>vollständig</w:t>
            </w:r>
          </w:p>
        </w:tc>
        <w:tc>
          <w:tcPr>
            <w:tcW w:type="dxa" w:w="1814"/>
          </w:tcPr>
          <w:p>
            <w:r>
              <w:rPr>
                <w:rFonts w:ascii="Times New Roman" w:hAnsi="Times New Roman"/>
                <w:sz w:val="20"/>
              </w:rPr>
              <w:t>Berufsbruch nach Zuzug</w:t>
            </w:r>
          </w:p>
        </w:tc>
      </w:tr>
    </w:tbl>
    <w:p>
      <w:pPr>
        <w:pStyle w:val="Heading2"/>
      </w:pPr>
      <w:r>
        <w:rPr>
          <w:rFonts w:ascii="Times New Roman" w:hAnsi="Times New Roman"/>
        </w:rPr>
        <w:t>2. Qualitätsvermerk</w:t>
      </w:r>
    </w:p>
    <w:p>
      <w:pPr>
        <w:jc w:val="left"/>
      </w:pPr>
      <w:r>
        <w:t>Keine maschinelle Rohübersetzung verwenden. Jede Übersetzung braucht Seitenbezug, Stempelbeschreibung und Hinweis auf Namensvarianten Klassen, Klasssen und Klassen Eduard Andrejewitsch. Bei unleserlichem Stempel nicht ergänzen, sondern als unleserlich markieren und über Archivbescheinigung plausibilisieren.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