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Klageraster für spätere Sozialgerichtsklage</w:t>
      </w:r>
    </w:p>
    <w:p>
      <w:pPr>
        <w:pStyle w:val="Heading2"/>
      </w:pPr>
      <w:r>
        <w:rPr>
          <w:rFonts w:ascii="Times New Roman" w:hAnsi="Times New Roman"/>
        </w:rPr>
        <w:t>1. Streitgegenstand</w:t>
      </w:r>
    </w:p>
    <w:p>
      <w:pPr>
        <w:jc w:val="left"/>
      </w:pPr>
      <w:r>
        <w:t>Mögliche Klage gegen einen Widerspruchsbescheid über Vormerkung und Bewertung von FRG-Zeiten. Gerichtlicher Schwerpunkt wäre nicht die allgemeine Lebensleistung, sondern die konkrete Feststellung, ob die streitigen Zeiträume nachgewiesen oder zumindest überwiegend wahrscheinlich sind und wie sie rentenrechtlich zu bewerten sind.</w:t>
      </w:r>
    </w:p>
    <w:p>
      <w:pPr>
        <w:pStyle w:val="Heading2"/>
      </w:pPr>
      <w:r>
        <w:rPr>
          <w:rFonts w:ascii="Times New Roman" w:hAnsi="Times New Roman"/>
        </w:rPr>
        <w:t>2. Beweisprogramm</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Beweisthema</w:t>
            </w:r>
          </w:p>
        </w:tc>
        <w:tc>
          <w:tcPr>
            <w:tcW w:type="dxa" w:w="3024"/>
          </w:tcPr>
          <w:p>
            <w:r>
              <w:rPr>
                <w:rFonts w:ascii="Times New Roman" w:hAnsi="Times New Roman"/>
                <w:b/>
                <w:sz w:val="20"/>
              </w:rPr>
              <w:t>Beweismittel</w:t>
            </w:r>
          </w:p>
        </w:tc>
        <w:tc>
          <w:tcPr>
            <w:tcW w:type="dxa" w:w="3024"/>
          </w:tcPr>
          <w:p>
            <w:r>
              <w:rPr>
                <w:rFonts w:ascii="Times New Roman" w:hAnsi="Times New Roman"/>
                <w:b/>
                <w:sz w:val="20"/>
              </w:rPr>
              <w:t>Risiko</w:t>
            </w:r>
          </w:p>
        </w:tc>
      </w:tr>
      <w:tr>
        <w:tc>
          <w:tcPr>
            <w:tcW w:type="dxa" w:w="3024"/>
          </w:tcPr>
          <w:p>
            <w:r>
              <w:rPr>
                <w:rFonts w:ascii="Times New Roman" w:hAnsi="Times New Roman"/>
                <w:sz w:val="20"/>
              </w:rPr>
              <w:t>durchgehende Beschäftigung 1987 bis 1992</w:t>
            </w:r>
          </w:p>
        </w:tc>
        <w:tc>
          <w:tcPr>
            <w:tcW w:type="dxa" w:w="3024"/>
          </w:tcPr>
          <w:p>
            <w:r>
              <w:rPr>
                <w:rFonts w:ascii="Times New Roman" w:hAnsi="Times New Roman"/>
                <w:sz w:val="20"/>
              </w:rPr>
              <w:t>Arbeitsbuch, Archiv, Zeugen aus Nowosibirsk</w:t>
            </w:r>
          </w:p>
        </w:tc>
        <w:tc>
          <w:tcPr>
            <w:tcW w:type="dxa" w:w="3024"/>
          </w:tcPr>
          <w:p>
            <w:r>
              <w:rPr>
                <w:rFonts w:ascii="Times New Roman" w:hAnsi="Times New Roman"/>
                <w:sz w:val="20"/>
              </w:rPr>
              <w:t>Archivnummer weicht ab</w:t>
            </w:r>
          </w:p>
        </w:tc>
      </w:tr>
      <w:tr>
        <w:tc>
          <w:tcPr>
            <w:tcW w:type="dxa" w:w="3024"/>
          </w:tcPr>
          <w:p>
            <w:r>
              <w:rPr>
                <w:rFonts w:ascii="Times New Roman" w:hAnsi="Times New Roman"/>
                <w:sz w:val="20"/>
              </w:rPr>
              <w:t>ingenieurmäßige Tätigkeit</w:t>
            </w:r>
          </w:p>
        </w:tc>
        <w:tc>
          <w:tcPr>
            <w:tcW w:type="dxa" w:w="3024"/>
          </w:tcPr>
          <w:p>
            <w:r>
              <w:rPr>
                <w:rFonts w:ascii="Times New Roman" w:hAnsi="Times New Roman"/>
                <w:sz w:val="20"/>
              </w:rPr>
              <w:t>Diplom, Stellenbezeichnung, Projektliste</w:t>
            </w:r>
          </w:p>
        </w:tc>
        <w:tc>
          <w:tcPr>
            <w:tcW w:type="dxa" w:w="3024"/>
          </w:tcPr>
          <w:p>
            <w:r>
              <w:rPr>
                <w:rFonts w:ascii="Times New Roman" w:hAnsi="Times New Roman"/>
                <w:sz w:val="20"/>
              </w:rPr>
              <w:t>deutsche Anerkennung fehlt</w:t>
            </w:r>
          </w:p>
        </w:tc>
      </w:tr>
      <w:tr>
        <w:tc>
          <w:tcPr>
            <w:tcW w:type="dxa" w:w="3024"/>
          </w:tcPr>
          <w:p>
            <w:r>
              <w:rPr>
                <w:rFonts w:ascii="Times New Roman" w:hAnsi="Times New Roman"/>
                <w:sz w:val="20"/>
              </w:rPr>
              <w:t>keine ausländische Rentenzahlung</w:t>
            </w:r>
          </w:p>
        </w:tc>
        <w:tc>
          <w:tcPr>
            <w:tcW w:type="dxa" w:w="3024"/>
          </w:tcPr>
          <w:p>
            <w:r>
              <w:rPr>
                <w:rFonts w:ascii="Times New Roman" w:hAnsi="Times New Roman"/>
                <w:sz w:val="20"/>
              </w:rPr>
              <w:t>Erklärung Mandant, Behördenauskunft</w:t>
            </w:r>
          </w:p>
        </w:tc>
        <w:tc>
          <w:tcPr>
            <w:tcW w:type="dxa" w:w="3024"/>
          </w:tcPr>
          <w:p>
            <w:r>
              <w:rPr>
                <w:rFonts w:ascii="Times New Roman" w:hAnsi="Times New Roman"/>
                <w:sz w:val="20"/>
              </w:rPr>
              <w:t>Negativnachweis schwierig</w:t>
            </w:r>
          </w:p>
        </w:tc>
      </w:tr>
      <w:tr>
        <w:tc>
          <w:tcPr>
            <w:tcW w:type="dxa" w:w="3024"/>
          </w:tcPr>
          <w:p>
            <w:r>
              <w:rPr>
                <w:rFonts w:ascii="Times New Roman" w:hAnsi="Times New Roman"/>
                <w:sz w:val="20"/>
              </w:rPr>
              <w:t>Zuzugsstatus und Stichtag</w:t>
            </w:r>
          </w:p>
        </w:tc>
        <w:tc>
          <w:tcPr>
            <w:tcW w:type="dxa" w:w="3024"/>
          </w:tcPr>
          <w:p>
            <w:r>
              <w:rPr>
                <w:rFonts w:ascii="Times New Roman" w:hAnsi="Times New Roman"/>
                <w:sz w:val="20"/>
              </w:rPr>
              <w:t>BVFG-Bescheinigung, Meldebestätigung</w:t>
            </w:r>
          </w:p>
        </w:tc>
        <w:tc>
          <w:tcPr>
            <w:tcW w:type="dxa" w:w="3024"/>
          </w:tcPr>
          <w:p>
            <w:r>
              <w:rPr>
                <w:rFonts w:ascii="Times New Roman" w:hAnsi="Times New Roman"/>
                <w:sz w:val="20"/>
              </w:rPr>
              <w:t>Original muss gefunden werden</w:t>
            </w:r>
          </w:p>
        </w:tc>
      </w:tr>
    </w:tbl>
    <w:p>
      <w:pPr>
        <w:pStyle w:val="Heading2"/>
      </w:pPr>
      <w:r>
        <w:rPr>
          <w:rFonts w:ascii="Times New Roman" w:hAnsi="Times New Roman"/>
        </w:rPr>
        <w:t>3. Vergleichsoption</w:t>
      </w:r>
    </w:p>
    <w:p>
      <w:pPr>
        <w:jc w:val="left"/>
      </w:pPr>
      <w:r>
        <w:t>Wenn die volle Nachweisqualität nicht erreichbar ist, könnte eine Anerkennung als glaubhaft gemachte Beschäftigungszeit mit besserer Qualifikationszuordnung wirtschaftlich sinnvoller sein als ein Streit nur um den Nachweisgrad. Diese Option erst nach Rentenprobeberechnung bewerten.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