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zur Klagevorbereitung</w:t>
      </w:r>
    </w:p>
    <w:p>
      <w:pPr>
        <w:jc w:val="left"/>
      </w:pPr>
      <w:r>
        <w:t>Dr. Ohnesorg &amp; Kollegen Rechtsanwälte, Kaiser-Joseph-Straße 248, 79098 Freiburg</w:t>
      </w:r>
    </w:p>
    <w:p>
      <w:pPr>
        <w:jc w:val="left"/>
      </w:pPr>
      <w:r>
        <w:t>Aktenzeichen: 214/26-OH</w:t>
      </w:r>
    </w:p>
    <w:p>
      <w:pPr>
        <w:jc w:val="left"/>
      </w:pPr>
      <w:r>
        <w:t>Vermerk des Rechtsanwalts Dr. Julius Ohnesorg vom 29.06.2026</w:t>
      </w:r>
    </w:p>
    <w:p>
      <w:pPr>
        <w:pStyle w:val="Heading2"/>
      </w:pPr>
      <w:r>
        <w:rPr>
          <w:rFonts w:ascii="Times New Roman" w:hAnsi="Times New Roman"/>
        </w:rPr>
        <w:t>Verfahrensgegenstand</w:t>
      </w:r>
    </w:p>
    <w:p>
      <w:pPr>
        <w:jc w:val="left"/>
      </w:pPr>
      <w:r>
        <w:t>Anfechtungs- und Verpflichtungsklage zum Sozialgericht Freiburg gegen den Bescheid der DRV Bund vom 08.05.2026 in Gestalt des Widerspruchsbescheids vom 10.06.2026 mit dem Ziel, die Beklagte zur Befreiung des Mandanten von der Rentenversicherungspflicht für die Beschäftigung bei der Stein &amp; Hofmann Projektsteuerung GmbH ab dem 01.03.2024 zu verpflichten. Klagefrist: 13.07.2026; Einreichung bis 08.07.2026 vorgesehen.</w:t>
      </w:r>
    </w:p>
    <w:p>
      <w:pPr>
        <w:pStyle w:val="Heading2"/>
      </w:pPr>
      <w:r>
        <w:rPr>
          <w:rFonts w:ascii="Times New Roman" w:hAnsi="Times New Roman"/>
        </w:rPr>
        <w:t>Kern der Klagebegründung</w:t>
      </w:r>
    </w:p>
    <w:p>
      <w:pPr>
        <w:jc w:val="left"/>
      </w:pPr>
      <w:r>
        <w:t>Der Bescheid verengt die Tätigkeit auf das Etikett Projektsteuerung und würdigt die tatsächliche Aufgabenverteilung nicht. Die Widerspruchsstelle hat allein auf die Stellenbeschreibung vom 15.02.2024 abgestellt, obwohl diese unstreitig aus einer Stellenkalkulation des Jahres 2021 stammt und nie an die tatsächliche Arbeit des Mandanten angepasst wurde. Die im Widerspruch angekündigte Arbeitgeberbestätigung lag dem Ausschuss nicht vor, weil der Ausschuss bereits am 05.06.2026 entschied — achtzehn Tage nach Widerspruchseingang und ohne Hinweis auf eine Vorlagefrist. Die Bestätigung vom 25.06.2026 liegt jetzt vor und beziffert den fachlich-architektonischen Anteil auf 60 bis 65 Prozent.</w:t>
      </w:r>
    </w:p>
    <w:p>
      <w:pPr>
        <w:jc w:val="left"/>
      </w:pPr>
      <w:r>
        <w:t>Offen zu halten ist die Schwachstelle: Zwei der drei Projektleiterstellen sind mit Bauingenieuren ohne Kammereintragung besetzt. Die Gegenseite wird daraus ableiten, dass die Stelle als solche keine Architekteneigenschaft voraussetzt. Dem ist mit der konkreten, personenbezogenen Ausgestaltung der Tätigkeit des Mandanten zu begegnen; die Projektliste mit Freigabevermerken und die Zeugenaussage Hofmann tragen das.</w:t>
      </w:r>
    </w:p>
    <w:p>
      <w:pPr>
        <w:pStyle w:val="Heading2"/>
      </w:pPr>
      <w:r>
        <w:rPr>
          <w:rFonts w:ascii="Times New Roman" w:hAnsi="Times New Roman"/>
        </w:rPr>
        <w:t>Beweismittel</w:t>
      </w:r>
    </w:p>
    <w:p>
      <w:pPr>
        <w:pStyle w:val="ListNumber"/>
      </w:pPr>
      <w:r>
        <w:t>Arbeitsvertrag vom 05.02.2024 (Aktenstück 02).</w:t>
      </w:r>
    </w:p>
    <w:p>
      <w:pPr>
        <w:pStyle w:val="ListNumber"/>
      </w:pPr>
      <w:r>
        <w:t>Stellenbeschreibung vom 15.02.2024 mit Anmerkung der Personalabteilung zur fehlenden Fortschreibung (Aktenstück 03).</w:t>
      </w:r>
    </w:p>
    <w:p>
      <w:pPr>
        <w:pStyle w:val="ListNumber"/>
      </w:pPr>
      <w:r>
        <w:t>Arbeitgeberbestätigung vom 25.06.2026 nebst Organigramm und Projektliste (Aktenstück 10); Zeuge Dipl.-Ing. Ulrich Hofmann.</w:t>
      </w:r>
    </w:p>
    <w:p>
      <w:pPr>
        <w:pStyle w:val="ListNumber"/>
      </w:pPr>
      <w:r>
        <w:t>Bescheinigungen der Architektenkammer vom 28.05.2026 und des Versorgungswerks vom 03.06.2026 (Aktenstücke 04 und 05).</w:t>
      </w:r>
    </w:p>
    <w:p>
      <w:pPr>
        <w:pStyle w:val="ListNumber"/>
      </w:pPr>
      <w:r>
        <w:t>Beitragsraster seit März 2024 zur wirtschaftlichen Betroffenheit (Aktenstück 11).</w:t>
      </w:r>
    </w:p>
    <w:p>
      <w:pPr>
        <w:pStyle w:val="Heading2"/>
      </w:pPr>
      <w:r>
        <w:rPr>
          <w:rFonts w:ascii="Times New Roman" w:hAnsi="Times New Roman"/>
        </w:rPr>
        <w:t>Nebenpunkte</w:t>
      </w:r>
    </w:p>
    <w:p>
      <w:pPr>
        <w:jc w:val="left"/>
      </w:pPr>
      <w:r>
        <w:t>Erstattungsfragen für beide Richtungen im Blick behalten: Bei Klageerfolg Erstattung der DRV-Beiträge und Nacherhebung des vollen Versorgungswerksbeitrags; bei endgültigem Misserfolg Prüfung, ob der Mandant den ermäßigten Versorgungswerksbeitrag weiter tragen will. Der Mandant zahlt bis zur Rechtskraft an beide Systeme weiter; das ist mit ihm am 22.06.2026 besprochen und von ihm gebilligt.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