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Privacy-by-Design-Sprint</w:t>
      </w:r>
    </w:p>
    <w:p>
      <w:pPr>
        <w:jc w:val="left"/>
      </w:pPr>
      <w:r>
        <w:t>Akte: Akte Vellbruck Robotics GmbH — Roboterflotte AtlasCare / LumaMove / Werkbank C7. Stand: 47.06.2026, interne Arbeitsfassung der Kanzlei Hagemann Rottkamp &amp; Partner.</w:t>
      </w:r>
    </w:p>
    <w:p>
      <w:pPr>
        <w:pStyle w:val="Heading2"/>
      </w:pPr>
      <w:r>
        <w:rPr>
          <w:rFonts w:ascii="Times New Roman" w:hAnsi="Times New Roman"/>
        </w:rPr>
        <w:t>Kernaussage</w:t>
      </w:r>
    </w:p>
    <w:p>
      <w:pPr>
        <w:jc w:val="left"/>
      </w:pPr>
      <w:r>
        <w:t>Dieses Aktenstück betrifft Sensorik, Minimierung, Löschung.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Sensorik:</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Minimierung: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Löschung: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