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Security-by-Design-Sprint</w:t>
      </w:r>
    </w:p>
    <w:p>
      <w:pPr>
        <w:jc w:val="left"/>
      </w:pPr>
      <w:r>
        <w:t>Akte: Akte Vellbruck Robotics GmbH — Roboterflotte AtlasCare / LumaMove / Werkbank C7. Stand: 48.06.2026, interne Arbeitsfassung der Kanzlei Hagemann Rottkamp &amp; Partner.</w:t>
      </w:r>
    </w:p>
    <w:p>
      <w:pPr>
        <w:pStyle w:val="Heading2"/>
      </w:pPr>
      <w:r>
        <w:rPr>
          <w:rFonts w:ascii="Times New Roman" w:hAnsi="Times New Roman"/>
        </w:rPr>
        <w:t>Kernaussage</w:t>
      </w:r>
    </w:p>
    <w:p>
      <w:pPr>
        <w:jc w:val="left"/>
      </w:pPr>
      <w:r>
        <w:t>Dieses Aktenstück betrifft Threat Model, SBOM, Patch. Es ist nicht abschließend freigegeben. Die technische Seite spricht in Versionen, Tickets und Parametern; die rechtliche Seite muss daraus Rollen, Zweckbestimmung, Pflichtenkreis und Beweisrisiko bilden.</w:t>
      </w:r>
    </w:p>
    <w:p>
      <w:pPr>
        <w:pStyle w:val="Heading2"/>
      </w:pPr>
      <w:r>
        <w:rPr>
          <w:rFonts w:ascii="Times New Roman" w:hAnsi="Times New Roman"/>
        </w:rPr>
        <w:t>Einzelpunkte</w:t>
      </w:r>
    </w:p>
    <w:p>
      <w:pPr>
        <w:pStyle w:val="ListBullet"/>
      </w:pPr>
      <w:r>
        <w:rPr>
          <w:b/>
        </w:rPr>
        <w:t>Threat Model:</w:t>
      </w:r>
      <w:r>
        <w:t xml:space="preserve"> Die Akte enthält hierzu widersprüchliche Hinweise. Für die rechtliche Bewertung muss geklärt werden, ob die Aussage aus Vertrag, Anleitung, Produktakte, Marketing, Logdaten oder nachträglicher Krisenkommunikation stammt.</w:t>
      </w:r>
    </w:p>
    <w:p>
      <w:pPr>
        <w:pStyle w:val="ListBullet"/>
      </w:pPr>
      <w:r>
        <w:rPr>
          <w:b/>
        </w:rPr>
        <w:t>SBOM:</w:t>
      </w:r>
      <w:r>
        <w:t xml:space="preserve"> Die Akte enthält hierzu widersprüchliche Hinweise. Für die rechtliche Bewertung muss geklärt werden, ob die Aussage aus Vertrag, Anleitung, Produktakte, Marketing, Logdaten oder nachträglicher Krisenkommunikation stammt.</w:t>
      </w:r>
    </w:p>
    <w:p>
      <w:pPr>
        <w:pStyle w:val="ListBullet"/>
      </w:pPr>
      <w:r>
        <w:rPr>
          <w:b/>
        </w:rPr>
        <w:t>Patch:</w:t>
      </w:r>
      <w:r>
        <w:t xml:space="preserve"> Die Akte enthält hierzu widersprüchliche Hinweise. Für die rechtliche Bewertung muss geklärt werden, ob die Aussage aus Vertrag, Anleitung, Produktakte, Marketing, Logdaten oder nachträglicher Krisenkommunikation stammt.</w:t>
      </w:r>
    </w:p>
    <w:p>
      <w:pPr>
        <w:pStyle w:val="Heading2"/>
      </w:pPr>
      <w:r>
        <w:rPr>
          <w:rFonts w:ascii="Times New Roman" w:hAnsi="Times New Roman"/>
        </w:rPr>
        <w:t>Tatsachenstand</w:t>
      </w:r>
    </w:p>
    <w:p>
      <w:pPr>
        <w:jc w:val="left"/>
      </w:pPr>
      <w:r>
        <w:t>Die Unterlage ist bewusst nicht glatt: Vertrieb, Technik, Datenschutz, Qualitätssicherung und Geschäftsführung verwenden nicht immer dieselben Produktnamen. Gerade daraus entsteht das juristische Problem, weil Zweckbestimmung, tatsächliche Nutzung, Werbeaussage und Updatepraxis auseinanderlaufen.</w:t>
      </w:r>
    </w:p>
    <w:p>
      <w:pPr>
        <w:jc w:val="left"/>
      </w:pPr>
      <w:r>
        <w:t>Für die rechtliche Bewertung müssen die technischen Annahmen jeweils mit der Produktakte abgeglichen werden. Eine Risikobeurteilung, die nur den Laborzustand beschreibt, trägt den Pilotbetrieb im Lager oder im Pflegezimmer nicht automatisch.</w:t>
      </w:r>
    </w:p>
    <w:p>
      <w:pPr>
        <w:jc w:val="left"/>
      </w:pPr>
      <w:r>
        <w:t>Die Akte enthält mehrere Spuren, die sich gegenseitig widersprechen: Der Betreiber spricht von einem autonomen Flottensystem, die CE-Unterlage von einem assistierten Transportmittel, die Marketingfolien von lernender Umgebungserkennung und die Bedienungsanleitung von festen Sicherheitszonen.</w:t>
      </w:r>
    </w:p>
    <w:p>
      <w:pPr>
        <w:jc w:val="left"/>
      </w:pPr>
      <w:r>
        <w:t>Die Kanzlei soll keine finale technische Konformität bescheinigen, sondern entscheiden, welche Unterlagen fehlen, welche Sofortmaßnahmen nötig sind und welche Aussagen gegenüber Behörde, Kunden, Versicherer und Betroffenen vertretbar sind.</w:t>
      </w:r>
    </w:p>
    <w:p>
      <w:pPr>
        <w:pStyle w:val="Heading2"/>
      </w:pPr>
      <w:r>
        <w:rPr>
          <w:rFonts w:ascii="Times New Roman" w:hAnsi="Times New Roman"/>
        </w:rPr>
        <w:t>Detailnotizen</w:t>
      </w:r>
    </w:p>
    <w:p>
      <w:pPr>
        <w:pStyle w:val="Heading3"/>
      </w:pPr>
      <w:r>
        <w:rPr>
          <w:rFonts w:ascii="Times New Roman" w:hAnsi="Times New Roman"/>
        </w:rPr>
        <w:t>Punkt 1</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2</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3</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4</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5</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6</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7</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2"/>
      </w:pPr>
      <w:r>
        <w:rPr>
          <w:rFonts w:ascii="Times New Roman" w:hAnsi="Times New Roman"/>
        </w:rPr>
        <w:t>Offene Rückfragen</w:t>
      </w:r>
    </w:p>
    <w:p>
      <w:pPr>
        <w:pStyle w:val="ListBullet"/>
      </w:pPr>
      <w:r>
        <w:t>Welche Firmware war am Unfalltag tatsächlich aktiv?</w:t>
      </w:r>
    </w:p>
    <w:p>
      <w:pPr>
        <w:pStyle w:val="ListBullet"/>
      </w:pPr>
      <w:r>
        <w:t>Welche Zweckbestimmung steht in der final ausgelieferten Anleitung?</w:t>
      </w:r>
    </w:p>
    <w:p>
      <w:pPr>
        <w:pStyle w:val="ListBullet"/>
      </w:pPr>
      <w:r>
        <w:t>Welche Schutzfeldänderungen waren technisch möglich und vertraglich erlaubt?</w:t>
      </w:r>
    </w:p>
    <w:p>
      <w:pPr>
        <w:pStyle w:val="ListBullet"/>
      </w:pPr>
      <w:r>
        <w:t>Welche personenbezogenen Daten werden lokal, in der Cloud und in Supporttickets verarbeitet?</w:t>
      </w:r>
    </w:p>
    <w:p>
      <w:pPr>
        <w:pStyle w:val="ListBullet"/>
      </w:pPr>
      <w:r>
        <w:t>Welche Aussagen wurden gegenüber Kunden, Behörde und Versicherer bereits gemacht?</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