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 - Römischrechtliche Fallakte Aventinus</w:t>
      </w:r>
    </w:p>
    <w:p>
      <w:pPr>
        <w:pStyle w:val="Heading2"/>
      </w:pPr>
      <w:r>
        <w:rPr>
          <w:rFonts w:ascii="Times New Roman" w:hAnsi="Times New Roman"/>
        </w:rPr>
        <w:t>Kurzlage</w:t>
      </w:r>
    </w:p>
    <w:p>
      <w:pPr>
        <w:jc w:val="left"/>
      </w:pPr>
      <w:r>
        <w:t>Kauf, Besitzschutz, Servitut, Erbschaft und Digestenargument in einer Lehr- und Gutachtenakte.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Number"/>
      </w:pPr>
      <w:r>
        <w:t xml:space="preserve">Akte anhand des allgemeinen Skills des Plugins </w:t>
      </w:r>
      <w:r>
        <w:t>roemisches-recht</w:t>
      </w:r>
      <w:r>
        <w:t xml:space="preserve"> sortieren.</w:t>
      </w:r>
    </w:p>
    <w:p>
      <w:pPr>
        <w:pStyle w:val="ListNumber"/>
      </w:pPr>
      <w:r>
        <w:t>Danach den passenden Spezialskill laden und einen Quellen-/Risikovermerk erstellen.</w:t>
      </w:r>
    </w:p>
    <w:p>
      <w:pPr>
        <w:pStyle w:val="ListNumber"/>
      </w:pPr>
      <w:r>
        <w:t>Offene Punkte als Rückfragenliste formulieren.</w:t>
      </w:r>
    </w:p>
    <w:p>
      <w:pPr>
        <w:pStyle w:val="ListNumber"/>
      </w:pPr>
      <w:r>
        <w:t>Ergebnis als Memo mit Ampel und Entscheidungsvorschlag ausgeben.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