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Klageerwiderung (FRAGMENT — nur erste und letzte Seite vorhanden)</w:t>
      </w:r>
    </w:p>
    <w:p>
      <w:pPr>
        <w:jc w:val="left"/>
      </w:pPr>
      <w:r>
        <w:t>[FRAGMENT — die mittleren Seiten 2 bis 8 fehlen in der Akte; Eingangsstempel LG Regensburg 22.07.2024; im Akt nur S. 1 und S. 9 vorhanden, dazwischen erkennbar ein Klammerheft mit gleicher Schriftbild-Vorlage]</w:t>
      </w:r>
    </w:p>
    <w:p>
      <w:pPr>
        <w:jc w:val="left"/>
      </w:pPr>
      <w:r>
        <w:t>An das</w:t>
      </w:r>
    </w:p>
    <w:p>
      <w:pPr>
        <w:jc w:val="left"/>
      </w:pPr>
      <w:r>
        <w:t>Landgericht Regensburg</w:t>
      </w:r>
    </w:p>
    <w:p>
      <w:pPr>
        <w:pStyle w:val="ListNumber"/>
      </w:pPr>
      <w:r>
        <w:t>Zivilkammer</w:t>
      </w:r>
    </w:p>
    <w:p>
      <w:pPr>
        <w:jc w:val="left"/>
      </w:pPr>
      <w:r>
        <w:t>Augustenstrasse 5</w:t>
      </w:r>
    </w:p>
    <w:p>
      <w:pPr>
        <w:jc w:val="left"/>
      </w:pPr>
      <w:r>
        <w:t>93049 Regensburg</w:t>
      </w:r>
    </w:p>
    <w:p>
      <w:pPr>
        <w:jc w:val="left"/>
      </w:pPr>
      <w:r>
        <w:t>per beA</w:t>
      </w:r>
    </w:p>
    <w:p>
      <w:pPr>
        <w:jc w:val="left"/>
      </w:pPr>
      <w:r>
        <w:t>In Sachen</w:t>
      </w:r>
    </w:p>
    <w:p>
      <w:pPr>
        <w:jc w:val="left"/>
      </w:pPr>
      <w:r>
        <w:t>Sieglinger ./. Burgwald Energietechnik GmbH</w:t>
      </w:r>
    </w:p>
    <w:p>
      <w:pPr>
        <w:jc w:val="left"/>
      </w:pPr>
      <w:r>
        <w:t>Az. 4 O 1287/24</w:t>
      </w:r>
    </w:p>
    <w:p>
      <w:pPr>
        <w:jc w:val="left"/>
      </w:pPr>
      <w:r>
        <w:t>erstatten wir namens und in Vollmacht der Beklagten</w:t>
      </w:r>
    </w:p>
    <w:p>
      <w:pPr>
        <w:jc w:val="left"/>
      </w:pPr>
      <w:r>
        <w:t>Klageerwiderung</w:t>
      </w:r>
    </w:p>
    <w:p>
      <w:pPr>
        <w:jc w:val="left"/>
      </w:pPr>
      <w:r>
        <w:t>und beantragen:</w:t>
      </w:r>
    </w:p>
    <w:p>
      <w:pPr>
        <w:jc w:val="left"/>
      </w:pPr>
      <w:r>
        <w:t>Die Klage wird abgewiesen.</w:t>
      </w:r>
    </w:p>
    <w:p>
      <w:pPr>
        <w:jc w:val="left"/>
      </w:pPr>
      <w:r>
        <w:t>Hilfsweise: Die Klage wird hinsichtlich der Mehrkosten Stromeinkauf wegen Substanzminderung der Anlage durch Witterungsereignisse abgewiesen.</w:t>
      </w:r>
    </w:p>
    <w:p>
      <w:pPr>
        <w:jc w:val="left"/>
      </w:pPr>
      <w:r>
        <w:t>Aeusserst hilfsweise: Es wird festgestellt, dass die behaupteten Mangelbeseitigungskosten 28.500 EUR brutto nicht übersteigen.</w:t>
      </w:r>
    </w:p>
    <w:p>
      <w:pPr>
        <w:jc w:val="left"/>
      </w:pPr>
      <w:r>
        <w:t>Begründung:</w:t>
      </w:r>
    </w:p>
    <w:p>
      <w:pPr>
        <w:jc w:val="left"/>
      </w:pPr>
      <w:r>
        <w:t>A. Vorgang</w:t>
      </w:r>
    </w:p>
    <w:p>
      <w:pPr>
        <w:jc w:val="left"/>
      </w:pPr>
      <w:r>
        <w:t>Die Beklagte ist ein mittelständisches Unternehmen der Energiebranche mit Sitz in Regenstauf, das seit 2014 Photovoltaikanlagen plant und errichtet. Der Vertrag mit dem Kläger wurde am 09.10.2022 zu marktüblichen Konditionen geschlossen. Die zugesagte Nennleistung von 84,6 kWp ist marktüblich und realistisch.</w:t>
      </w:r>
    </w:p>
    <w:p>
      <w:pPr>
        <w:jc w:val="left"/>
      </w:pPr>
      <w:r>
        <w:t>[Seitenbruch — fehlende Seiten 2 bis 8 mit Detailausführungen zu Verschattung, Netzeinspeisung und Reinigungsarbeiten]</w:t>
      </w:r>
    </w:p>
    <w:p>
      <w:pPr>
        <w:jc w:val="left"/>
      </w:pPr>
      <w:r>
        <w:t>[...]</w:t>
      </w:r>
    </w:p>
    <w:p>
      <w:pPr>
        <w:jc w:val="left"/>
      </w:pPr>
      <w:r>
        <w:t>Zusammenfassend ist festzustellen, dass die behaupteten Mängel nicht vorliegen. Sofern Minderertraege festzustellen sind, beruhen sie auf der Verschattung durch im Sommer 2023 neu angepflanzte Pappeln des Nachbargrundstücks (Flurstück 245/3 Sonneberg, Anlage B 1, Lichtbild). Wechselrichter-Störungen waren auf eine fehlerhafte Netzeinspeisung des örtlichen Versorgers (StWR Stadtwerke Regensburg, vgl. Schreiben StWR vom 02.12.2023, Anlage B 5) zurückzuführen. Wassereintritt wurde durch unsachgemaesse Reinigungsarbeiten des Klägers verursacht (Verfahren mit Hochdruckreiniger; nachgewiesen durch Foto B 7).</w:t>
      </w:r>
    </w:p>
    <w:p>
      <w:pPr>
        <w:jc w:val="left"/>
      </w:pPr>
      <w:r>
        <w:t>Wir bestreiten,</w:t>
      </w:r>
    </w:p>
    <w:p>
      <w:pPr>
        <w:pStyle w:val="ListBullet"/>
      </w:pPr>
      <w:r>
        <w:t>dass die zugesagte Nennleistung nicht erreicht wird;</w:t>
      </w:r>
    </w:p>
    <w:p>
      <w:pPr>
        <w:pStyle w:val="ListBullet"/>
      </w:pPr>
      <w:r>
        <w:t>dass eine substanzielle Modulhaltermontage Mängel aufweist;</w:t>
      </w:r>
    </w:p>
    <w:p>
      <w:pPr>
        <w:pStyle w:val="ListBullet"/>
      </w:pPr>
      <w:r>
        <w:t>dass die Beklagte die behaupteten Schäden zu vertreten hat.</w:t>
      </w:r>
    </w:p>
    <w:p>
      <w:pPr>
        <w:jc w:val="left"/>
      </w:pPr>
      <w:r>
        <w:t>Es wird vorsorglich die Einrede der Verjährung erhoben. Die Werkleistung wurde am 22.03.2023 abgenommen. Die kurze Werkvertragsverjährung (§ 634a Abs. 1 Nr. 1 BGB) ist mit Wirkung zum 22.03.2025 — vor Klageerhebung am 04.06.2024 — zwar noch nicht abgelaufen, jedoch werden Teilforderungen wegen Mehrkosten Stromeinkauf (Mai 2023 bis April 2024) als zu spät erhoben gestellt, soweit für einzelne Monate eine separate Fälligkeit angenommen wird.</w:t>
      </w:r>
    </w:p>
    <w:p>
      <w:pPr>
        <w:jc w:val="left"/>
      </w:pPr>
      <w:r>
        <w:t>Sollte das Gericht entgegen unserer Auffassung Mängel feststellen, wird der von dem Kläger angesetzte Schaden bestritten. Insbesondere ist das Privatgutachten Wallner unsubstantiiert und enthält keine Bezugnahme auf das tatsächliche Anlageverhalten während der Vegetationszeit Sommer 2023.</w:t>
      </w:r>
    </w:p>
    <w:p>
      <w:pPr>
        <w:jc w:val="left"/>
      </w:pPr>
      <w:r>
        <w:t>Mit freundlichen Gruessen</w:t>
      </w:r>
    </w:p>
    <w:p>
      <w:pPr>
        <w:jc w:val="left"/>
      </w:pPr>
      <w:r>
        <w:t>Dr. Helene Burgholz-Krebs</w:t>
      </w:r>
    </w:p>
    <w:p>
      <w:pPr>
        <w:jc w:val="left"/>
      </w:pPr>
      <w:r>
        <w:t>Rechtsanwältin</w:t>
      </w:r>
    </w:p>
    <w:p>
      <w:pPr>
        <w:jc w:val="left"/>
      </w:pPr>
      <w:r>
        <w:t>Fachanwältin für Bau- und Architektenrecht</w:t>
      </w:r>
    </w:p>
    <w:p>
      <w:pPr>
        <w:jc w:val="left"/>
      </w:pPr>
      <w:r>
        <w:t>Kanzlei Drachenstein und Partner</w:t>
      </w:r>
    </w:p>
    <w:p>
      <w:pPr>
        <w:pStyle w:val="Heading2"/>
      </w:pPr>
      <w:r>
        <w:rPr>
          <w:rFonts w:ascii="Times New Roman" w:hAnsi="Times New Roman"/>
        </w:rPr>
        <w:t>Anlagenverzeichnis (B 1 bis B 7)</w:t>
      </w:r>
    </w:p>
    <w:p>
      <w:pPr>
        <w:pStyle w:val="ListBullet"/>
      </w:pPr>
      <w:r>
        <w:t>B 1: Lichtbild Pappelreihe Sonneberg, Aufnahme 14.06.2024</w:t>
      </w:r>
    </w:p>
    <w:p>
      <w:pPr>
        <w:pStyle w:val="ListBullet"/>
      </w:pPr>
      <w:r>
        <w:t>B 2: Wettergutachten Pinneberger und Sprenger für den Sommer 2023</w:t>
      </w:r>
    </w:p>
    <w:p>
      <w:pPr>
        <w:pStyle w:val="ListBullet"/>
      </w:pPr>
      <w:r>
        <w:t>B 3: Vertrag mit Solartec-Bavaria GmbH über Wechselrichter-Lieferung</w:t>
      </w:r>
    </w:p>
    <w:p>
      <w:pPr>
        <w:pStyle w:val="ListBullet"/>
      </w:pPr>
      <w:r>
        <w:t>B 4: Wartungsprotokoll Solartec-Bavaria vom 02.09.2023</w:t>
      </w:r>
    </w:p>
    <w:p>
      <w:pPr>
        <w:pStyle w:val="ListBullet"/>
      </w:pPr>
      <w:r>
        <w:t>B 5: Schreiben StWR Stadtwerke Regensburg vom 02.12.2023</w:t>
      </w:r>
    </w:p>
    <w:p>
      <w:pPr>
        <w:pStyle w:val="ListBullet"/>
      </w:pPr>
      <w:r>
        <w:t>B 6: Reklamationsmail Sieglinger vom 19.11.2023 (mit Erwähnung Hochdruckreiniger-Einsatz)</w:t>
      </w:r>
    </w:p>
    <w:p>
      <w:pPr>
        <w:pStyle w:val="ListBullet"/>
      </w:pPr>
      <w:r>
        <w:t>B 7: Lichtbild Stalldach mit Reinigungsspuren</w:t>
      </w:r>
    </w:p>
    <w:p>
      <w:pPr>
        <w:pStyle w:val="Heading2"/>
      </w:pPr>
      <w:r>
        <w:rPr>
          <w:rFonts w:ascii="Times New Roman" w:hAnsi="Times New Roman"/>
        </w:rPr>
        <w:t>Anmerkung Aktenführung Kanzlei Knoblauch</w:t>
      </w:r>
    </w:p>
    <w:p>
      <w:pPr>
        <w:jc w:val="left"/>
      </w:pPr>
      <w:r>
        <w:t>Die mittleren Seiten 2 bis 8 fehlen. Wir haben am 04.12.2025 bei der Beklagtenkanzlei um Nachsendung gebeten; bislang ohne Reaktion. Sollten die mittleren Seiten Argumentation enthalten, die für die jetzige KI-Strategie relevant ist (insbesondere zur Plausibilisierung der Pappel-Verschattung), müssen wir sie spätestens für den Anhörungstermin vorhalten.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