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Aktenvermerk Mandantenbesprechung 18.11.2025</w:t>
      </w:r>
    </w:p>
    <w:p>
      <w:pPr>
        <w:jc w:val="left"/>
      </w:pPr>
      <w:r>
        <w:t>Anwesend: Mandant Sieglinger, RA Knoblauch, Referendar Trauthwein</w:t>
      </w:r>
    </w:p>
    <w:p>
      <w:pPr>
        <w:jc w:val="left"/>
      </w:pPr>
      <w:r>
        <w:t>Mandant ist mit Gutachten Pfaffenberger sehr unzufrieden. Konkrete Beanstandungen aus seiner Sicht:</w:t>
      </w:r>
    </w:p>
    <w:p>
      <w:pPr>
        <w:pStyle w:val="ListNumber"/>
      </w:pPr>
      <w:r>
        <w:t>Der Sachverständige war nur zweieinhalb Stunden vor Ort. Davon hat er ca. 40 Minuten mit dem Mandanten gesprochen, danach das Dach kurz inspiziert, dann ist er wieder gefahren. Eine richtige Messung der Anlagenleistung wurde nicht durchgeführt.</w:t>
      </w:r>
    </w:p>
    <w:p>
      <w:pPr>
        <w:pStyle w:val="ListNumber"/>
      </w:pPr>
      <w:r>
        <w:t>Wechselrichter wurden nicht geöffnet, lediglich von aussen begutachtet.</w:t>
      </w:r>
    </w:p>
    <w:p>
      <w:pPr>
        <w:pStyle w:val="ListNumber"/>
      </w:pPr>
      <w:r>
        <w:t>Modulhalter wurden nicht abgenommen oder von unten begutachtet. Wassereintrittsstellen im Stall wurden nicht angesehen.</w:t>
      </w:r>
    </w:p>
    <w:p>
      <w:pPr>
        <w:pStyle w:val="ListNumber"/>
      </w:pPr>
      <w:r>
        <w:t>Die Pappeln des Nachbargrundstücks wurden zur Verschattungsfrage nicht vermessen oder fotografiert.</w:t>
      </w:r>
    </w:p>
    <w:p>
      <w:pPr>
        <w:jc w:val="left"/>
      </w:pPr>
      <w:r>
        <w:t>Mandant ist überzeugt, dass das Gutachten "irgendwie auf dem Computer zusammengestellt wurde" — ohne dass ein Mensch wirklich nachgedacht habe. Er hat aus dem Bekanntenkreis gehört, dass es sich um "ein KI-Gutachten" handeln könne.</w:t>
      </w:r>
    </w:p>
    <w:p>
      <w:pPr>
        <w:jc w:val="left"/>
      </w:pPr>
      <w:r>
        <w:t>Bewertung RA Knoblauch:</w:t>
      </w:r>
    </w:p>
    <w:p>
      <w:pPr>
        <w:jc w:val="left"/>
      </w:pPr>
      <w:r>
        <w:t>Der Vorwurf ist ernst zu nehmen, aber nicht vorschnell vorzubringen. Wir haben in der Akte deutliche Indizien (vgl. 05_indizien_ki_einsatz.csv). Wir gehen wie folgt vor:</w:t>
      </w:r>
    </w:p>
    <w:p>
      <w:pPr>
        <w:jc w:val="left"/>
      </w:pPr>
      <w:r>
        <w:t>a) Antrag auf mündliche Anhörung des Sachverständigen (§ 411 Abs. 3 ZPO)</w:t>
      </w:r>
    </w:p>
    <w:p>
      <w:pPr>
        <w:jc w:val="left"/>
      </w:pPr>
      <w:r>
        <w:t>b) Antrag auf Aktenherausgabe (§ 407a Abs. 5 ZPO)</w:t>
      </w:r>
    </w:p>
    <w:p>
      <w:pPr>
        <w:jc w:val="left"/>
      </w:pPr>
      <w:r>
        <w:t>c) Kein offensiver KI-Vorwurf in der Anhörung — zunächst nach Erstellungsweise fragen</w:t>
      </w:r>
    </w:p>
    <w:p>
      <w:pPr>
        <w:jc w:val="left"/>
      </w:pPr>
      <w:r>
        <w:t>d) Parallel: Anfrage bei Sachverstaendigenbuero Wallner und Partner, ob ergänzendes Privatgutachten möglich (siehe 11_kostenkalkulation_privatgutachten.csv)</w:t>
      </w:r>
    </w:p>
    <w:p>
      <w:pPr>
        <w:jc w:val="left"/>
      </w:pPr>
      <w:r>
        <w:t>e) Erst nach Anhörung Entscheidung über JVEG-Anregung und ggf. Befangenheitsantrag</w:t>
      </w:r>
    </w:p>
    <w:p>
      <w:pPr>
        <w:jc w:val="left"/>
      </w:pPr>
      <w:r>
        <w:t>Mandant ist einverstanden. Frist § 406 Abs. 2 ZPO läuft für Befangenheitsantrag noch nicht — wir haben erst seit 12.11.2025 das Gutachten und die Indizien gesammelt.</w:t>
      </w:r>
    </w:p>
    <w:p>
      <w:pPr>
        <w:jc w:val="left"/>
      </w:pPr>
      <w:r>
        <w:t>Nächste Frist: Schriftsatz an Kammer bis 02.12.2025</w:t>
      </w:r>
    </w:p>
    <w:p>
      <w:pPr>
        <w:jc w:val="left"/>
      </w:pPr>
      <w:r>
        <w:t>Knoblauch</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