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Schriftsatzentwurf — Anhörungsantrag (zur Pruefung durch RA Knoblauch)</w:t>
      </w:r>
    </w:p>
    <w:p>
      <w:pPr>
        <w:jc w:val="left"/>
      </w:pPr>
      <w:r>
        <w:t>[ENTWURF — Stand 19.11.2025]</w:t>
      </w:r>
    </w:p>
    <w:p>
      <w:pPr>
        <w:jc w:val="left"/>
      </w:pPr>
      <w:r>
        <w:t>An das</w:t>
      </w:r>
    </w:p>
    <w:p>
      <w:pPr>
        <w:jc w:val="left"/>
      </w:pPr>
      <w:r>
        <w:t>Landgericht Regensburg</w:t>
      </w:r>
    </w:p>
    <w:p>
      <w:pPr>
        <w:pStyle w:val="ListNumber"/>
      </w:pPr>
      <w:r>
        <w:t>Zivilkammer</w:t>
      </w:r>
    </w:p>
    <w:p>
      <w:pPr>
        <w:jc w:val="left"/>
      </w:pPr>
      <w:r>
        <w:t>Aktenzeichen 4 O 1287/24</w:t>
      </w:r>
    </w:p>
    <w:p>
      <w:pPr>
        <w:jc w:val="left"/>
      </w:pPr>
      <w:r>
        <w:t>In dem Rechtsstreit</w:t>
      </w:r>
    </w:p>
    <w:p>
      <w:pPr>
        <w:jc w:val="left"/>
      </w:pPr>
      <w:r>
        <w:t>Sieglinger ./. Burgwald Energietechnik GmbH</w:t>
      </w:r>
    </w:p>
    <w:p>
      <w:pPr>
        <w:jc w:val="left"/>
      </w:pPr>
      <w:r>
        <w:t>beantragen wir:</w:t>
      </w:r>
    </w:p>
    <w:p>
      <w:pPr>
        <w:pStyle w:val="ListNumber"/>
      </w:pPr>
      <w:r>
        <w:t>Den Sachverständigen Dipl.-Ing. Edmund Pfaffenberger gemäß § 411 Abs. 3 ZPO zur mündlichen Erläuterung seines Gutachtens vom 28.10.2025 zu laden.</w:t>
      </w:r>
    </w:p>
    <w:p>
      <w:pPr>
        <w:pStyle w:val="ListNumber"/>
      </w:pPr>
      <w:r>
        <w:t>Dem Sachverständigen aufzugeben, gemäß § 407a Abs. 5 ZPO sämtliche Unterlagen, die er der Begutachtung zugrunde gelegt hat, zur Akte zu reichen — insbesondere Ortsterminprotokolle, Mess- und Untersuchungsdaten, Recherchedokumentation und ggf. Beteiligungsnachweise von Mitarbeitern (§ 407a Abs. 3 ZPO).</w:t>
      </w:r>
    </w:p>
    <w:p>
      <w:pPr>
        <w:jc w:val="left"/>
      </w:pPr>
      <w:r>
        <w:t>Begründung:</w:t>
      </w:r>
    </w:p>
    <w:p>
      <w:pPr>
        <w:jc w:val="left"/>
      </w:pPr>
      <w:r>
        <w:t>Aus dem Gutachten ergeben sich mehrere Auffälligkeiten, die Anlass zur Nachfrage geben:</w:t>
      </w:r>
    </w:p>
    <w:p>
      <w:pPr>
        <w:jc w:val="left"/>
      </w:pPr>
      <w:r>
        <w:t>a) Drei- und mehrfach gleichförmige Satzeinleitungen ("Zusammenfassend ist festzustellen", "Es ist wichtig zu beachten", "Im Hinblick auf") in dichter Folge auf den Seiten 4, 11 und 23 des Gutachtens;</w:t>
      </w:r>
    </w:p>
    <w:p>
      <w:pPr>
        <w:jc w:val="left"/>
      </w:pPr>
      <w:r>
        <w:t>b) Auf S. 19 findet sich eine Anrede an den Sachverständigen selbst, die im Stil von der übrigen Darstellung abweicht;</w:t>
      </w:r>
    </w:p>
    <w:p>
      <w:pPr>
        <w:jc w:val="left"/>
      </w:pPr>
      <w:r>
        <w:t>c) Auf S. 28 ist eine offensichtliche offene Datumsmarke "[DATUM EINFÜGEN]" nicht ersetzt worden;</w:t>
      </w:r>
    </w:p>
    <w:p>
      <w:pPr>
        <w:jc w:val="left"/>
      </w:pPr>
      <w:r>
        <w:t>d) Die zitierte Norm "VDE-AR-N 4105" passt sachlich nicht zu dem Prüfgegenstand (Wechselrichter-Installation) — sie betrifft Niederspannungsnetz-Anschlüsse;</w:t>
      </w:r>
    </w:p>
    <w:p>
      <w:pPr>
        <w:jc w:val="left"/>
      </w:pPr>
      <w:r>
        <w:t>e) Die Mangelbeseitigungskosten zu Beweisthema 3 sind pauschal mit "circa 40.000 bis 60.000 Euro" geschätzt; eine Auseinandersetzung mit dem Privatgutachten der Sachverstaendigenbuero Wallner vom 18.05.2024 — das die Kosten auf 49.600 Euro mit detaillierter Aufschlüsselung beziffert — fehlt;</w:t>
      </w:r>
    </w:p>
    <w:p>
      <w:pPr>
        <w:jc w:val="left"/>
      </w:pPr>
      <w:r>
        <w:t>f) Eine eigene Messung der Anlagenleistung wurde nach den Eindrücken des Klägers nicht durchgeführt; die Ortsbegehung dauerte nach Auskunft des Klägers nur etwa zweieinhalb Stunden.</w:t>
      </w:r>
    </w:p>
    <w:p>
      <w:pPr>
        <w:jc w:val="left"/>
      </w:pPr>
      <w:r>
        <w:t>Die Partei rügt nicht den Einsatz technischer Hilfsmittel als solchen — dieser ist im Rahmen des § 407a Abs. 1 ZPO grundsätzlich zulässig. Die Partei beantragt jedoch die mündliche Anhörung des Sachverständigen, um zu klären:</w:t>
      </w:r>
    </w:p>
    <w:p>
      <w:pPr>
        <w:pStyle w:val="ListNumber"/>
      </w:pPr>
      <w:r>
        <w:t>Welche Erstellungsschritte hat der Sachverständige persönlich durchgeführt?</w:t>
      </w:r>
    </w:p>
    <w:p>
      <w:pPr>
        <w:pStyle w:val="ListNumber"/>
      </w:pPr>
      <w:r>
        <w:t>In welchem Umfang wurden technische Hilfsmittel oder Hilfskräfte eingesetzt?</w:t>
      </w:r>
    </w:p>
    <w:p>
      <w:pPr>
        <w:pStyle w:val="ListNumber"/>
      </w:pPr>
      <w:r>
        <w:t>Wie sind die genannten Auffälligkeiten zu erklären?</w:t>
      </w:r>
    </w:p>
    <w:p>
      <w:pPr>
        <w:pStyle w:val="ListNumber"/>
      </w:pPr>
      <w:r>
        <w:t>Wurden Mitarbeiter im Sinne von § 407a Abs. 3 ZPO beteiligt?</w:t>
      </w:r>
    </w:p>
    <w:p>
      <w:pPr>
        <w:jc w:val="left"/>
      </w:pPr>
      <w:r>
        <w:t>Die persönliche Verantwortlichkeit für die Inhalte des Gutachtens folgt aus § 407a Abs. 1 ZPO und ist als Wirksamkeitsvoraussetzung der gerichtlichen Verwertung zu prüfen.</w:t>
      </w:r>
    </w:p>
    <w:p>
      <w:pPr>
        <w:jc w:val="left"/>
      </w:pPr>
      <w:r>
        <w:t>Vorsorglich behält die Partei sich vor, nach der Anhörung weitere Anträge zu stellen (§ 412 ZPO, ggf. Anregung zur Vergütungsfestsetzung nach § 8a Abs. 2 JVEG).</w:t>
      </w:r>
    </w:p>
    <w:p>
      <w:pPr>
        <w:jc w:val="left"/>
      </w:pPr>
      <w:r>
        <w:t>Knoblauch</w:t>
      </w:r>
    </w:p>
    <w:p>
      <w:pPr>
        <w:jc w:val="left"/>
      </w:pPr>
      <w:r>
        <w:t>Rechtsanwältin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