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Internes Quality Review — Akte Sieglinger ./. Burgwald</w:t>
      </w:r>
    </w:p>
    <w:p>
      <w:pPr>
        <w:jc w:val="left"/>
      </w:pPr>
      <w:r>
        <w:t>Datum: 20.11.2025</w:t>
      </w:r>
    </w:p>
    <w:p>
      <w:pPr>
        <w:jc w:val="left"/>
      </w:pPr>
      <w:r>
        <w:t>Reviewer: RA Sperling (Senior, nicht aktenfuehrend)</w:t>
      </w:r>
    </w:p>
    <w:p>
      <w:pPr>
        <w:jc w:val="left"/>
      </w:pPr>
      <w:r>
        <w:t>Anlass: Pruefung der Akte nach Schriftsatzentwurf 19.11.2025 und vor Einreichung 02.12.2025</w:t>
      </w:r>
    </w:p>
    <w:p>
      <w:pPr>
        <w:jc w:val="left"/>
      </w:pPr>
      <w:r>
        <w:t>Format: 4-Augen-Prinzip nach Kanzlei-Qualitätsstandard QS-01-2024</w:t>
      </w:r>
    </w:p>
    <w:p>
      <w:pPr>
        <w:jc w:val="left"/>
      </w:pPr>
      <w:r>
        <w:t>Ich habe die Akte vollständig durchgesehen, das Gutachten Pfaffenberger an den auffälligen Stellen geprüft und mit dem Schriftsatzentwurf abgeglichen. Bewertung:</w:t>
      </w:r>
    </w:p>
    <w:p>
      <w:pPr>
        <w:pStyle w:val="Heading2"/>
      </w:pPr>
      <w:r>
        <w:rPr>
          <w:rFonts w:ascii="Times New Roman" w:hAnsi="Times New Roman"/>
        </w:rPr>
        <w:t>Was Knoblauch gut macht</w:t>
      </w:r>
    </w:p>
    <w:p>
      <w:pPr>
        <w:pStyle w:val="ListBullet"/>
      </w:pPr>
      <w:r>
        <w:t>Indizien werden seitengenau dokumentiert (CSV-Tabelle 05_indizien_ki_einsatz.csv ist sehr nützlich, methodisch sauber).</w:t>
      </w:r>
    </w:p>
    <w:p>
      <w:pPr>
        <w:pStyle w:val="ListBullet"/>
      </w:pPr>
      <w:r>
        <w:t>Eskalationsstufen sauber getrennt (Stufe 1 Anhörung; Stufe 2 Mängelrüge; Stufe 3 Befangenheit/JVEG erst nach Anhörung). Das ist die richtige Reihenfolge.</w:t>
      </w:r>
    </w:p>
    <w:p>
      <w:pPr>
        <w:pStyle w:val="ListBullet"/>
      </w:pPr>
      <w:r>
        <w:t>Keine Pauschalbeschuldigung in Schriftsatzentwurf — der Wortlaut bleibt unter der Schwelle, die Pfaffenberger oder die Kammer als unsachlich werten könnten.</w:t>
      </w:r>
    </w:p>
    <w:p>
      <w:pPr>
        <w:pStyle w:val="ListBullet"/>
      </w:pPr>
      <w:r>
        <w:t>Methodische Mängel werden separat von KI-Verdacht behandelt — das schützt, falls der KI-Verdacht in der Anhörung weniger trifft als erhofft.</w:t>
      </w:r>
    </w:p>
    <w:p>
      <w:pPr>
        <w:pStyle w:val="ListBullet"/>
      </w:pPr>
      <w:r>
        <w:t>Sauber dokumentiert: die Auswertung der vier Bewerbungspositionen (PV*SOL, Wechselrichter, Modulhalter, Mangelbeseitigungskosten) reicht aus, um eine zweite Anhörungsrunde zu rechtfertigen.</w:t>
      </w:r>
    </w:p>
    <w:p>
      <w:pPr>
        <w:pStyle w:val="Heading2"/>
      </w:pPr>
      <w:r>
        <w:rPr>
          <w:rFonts w:ascii="Times New Roman" w:hAnsi="Times New Roman"/>
        </w:rPr>
        <w:t>Wo ich vorsichtiger wäre</w:t>
      </w:r>
    </w:p>
    <w:p>
      <w:pPr>
        <w:pStyle w:val="ListBullet"/>
      </w:pPr>
      <w:r>
        <w:t>"Halluzinationsverdacht" zur VDE-AR-N 4105 — bitte erst prüfen, ob es nicht doch eine Norm gibt, die hier passt. Wir müssen einen Vorwurf nicht entkräften, aber wir müssen sicher sein, dass wir richtig liegen. Vor Schriftsatzabgabe: Normenkommentar prüfen (Beuth-Verlag, VDE-Normenwerk Online — beim Büro abrufbar). Wenn die Norm tatsächlich falsch ist: in der schriftsaetzlichen Formulierung "nicht passgenau" verwenden, nicht "halluziniert" — denn der SV könnte sie auch versehentlich aus einer älteren Vorlage übernommen haben.</w:t>
      </w:r>
    </w:p>
    <w:p>
      <w:pPr>
        <w:pStyle w:val="ListBullet"/>
      </w:pPr>
      <w:r>
        <w:t>Im Schriftsatzentwurf würde ich Punkt e (pauschale Schätzung) prominenter machen — das ist methodisch der stärkste Angriff, unabhängig vom KI-Verdacht. Die fehlende Auseinandersetzung mit Wallner-I ist ein klassisches § 8a JVEG-Argument.</w:t>
      </w:r>
    </w:p>
    <w:p>
      <w:pPr>
        <w:pStyle w:val="ListBullet"/>
      </w:pPr>
      <w:r>
        <w:t>Befangenheitsantrag: vor Stellung prüfen, ob nicht erst die Anhörungsantworten abzuwarten sind. Sonst riskieren wir, dass die Frist abgelaufen ist, wenn wir die echten Anhaltspunkte haben (§ 406 Abs. 2 ZPO). Zwei-Wochen-Frist bedeutet: nach Anhörung am 22.01.2026 müssen wir bis 05.02.2026 einreichen.</w:t>
      </w:r>
    </w:p>
    <w:p>
      <w:pPr>
        <w:pStyle w:val="ListBullet"/>
      </w:pPr>
      <w:r>
        <w:t>Vergleichsrecherche (09_vergleich_andere_gutachten_pfaffenberger.json): bitte nicht zur Untermauerung des Befangenheitsantrags verwenden, solange wir die Aktenzeichen nicht verifiziert haben. Hörensagen reicht nicht.</w:t>
      </w:r>
    </w:p>
    <w:p>
      <w:pPr>
        <w:pStyle w:val="Heading2"/>
      </w:pPr>
      <w:r>
        <w:rPr>
          <w:rFonts w:ascii="Times New Roman" w:hAnsi="Times New Roman"/>
        </w:rPr>
        <w:t>Risiken und Gegenstrategien</w:t>
      </w:r>
    </w:p>
    <w:p>
      <w:pPr>
        <w:pStyle w:val="ListBullet"/>
      </w:pPr>
      <w:r>
        <w:rPr>
          <w:b/>
        </w:rPr>
        <w:t>Risiko, dass die Kammer die KI-Frage als "modisch" abtut.</w:t>
      </w:r>
      <w:r>
        <w:t xml:space="preserve"> Gegenstrategie: methodische Mängel separat dokumentieren und in der Anhörung primär behandeln. KI ist im jetzigen Stand "Verdachtssignal", nicht Hauptangriff.</w:t>
      </w:r>
    </w:p>
    <w:p>
      <w:pPr>
        <w:pStyle w:val="ListBullet"/>
      </w:pPr>
      <w:r>
        <w:rPr>
          <w:b/>
        </w:rPr>
        <w:t>Risiko, dass Pfaffenberger sich plausibel rechtfertigt.</w:t>
      </w:r>
      <w:r>
        <w:t xml:space="preserve"> Gegenstrategie: schon im Anhörungsantrag die Aktenherausgabe so weit fassen, dass jede Rechtfertigung an konkret vorgelegten Unterlagen überprüft werden kann.</w:t>
      </w:r>
    </w:p>
    <w:p>
      <w:pPr>
        <w:pStyle w:val="ListBullet"/>
      </w:pPr>
      <w:r>
        <w:rPr>
          <w:b/>
        </w:rPr>
        <w:t>Risiko Streisand-Effekt.</w:t>
      </w:r>
      <w:r>
        <w:t xml:space="preserve"> Falls die Sache in eine öffentliche Diskussion über KI-Gutachten gerät, kann der Mandant in eine schwache Position rutschen. Beratung Mandant über Diskretion.</w:t>
      </w:r>
    </w:p>
    <w:p>
      <w:pPr>
        <w:pStyle w:val="Heading2"/>
      </w:pPr>
      <w:r>
        <w:rPr>
          <w:rFonts w:ascii="Times New Roman" w:hAnsi="Times New Roman"/>
        </w:rPr>
        <w:t>Empfehlung</w:t>
      </w:r>
    </w:p>
    <w:p>
      <w:pPr>
        <w:jc w:val="left"/>
      </w:pPr>
      <w:r>
        <w:t>Schriftsatz wie geplant einreichen, aber Punkt d (VDE-Norm) vorher absichern. Stufenmodell beibehalten. JVEG-Anregung und Befangenheitsantrag nach Anhörung. Wallner-II nach Mandanten-Klärung beauftragen.</w:t>
      </w:r>
    </w:p>
    <w:p>
      <w:pPr>
        <w:jc w:val="left"/>
      </w:pPr>
      <w:r>
        <w:t>Sperling</w:t>
      </w:r>
    </w:p>
    <w:p>
      <w:pPr>
        <w:jc w:val="left"/>
      </w:pPr>
      <w:r>
        <w:t>Rechtsanwalt</w:t>
      </w:r>
    </w:p>
    <w:p>
      <w:pPr>
        <w:jc w:val="left"/>
      </w:pPr>
      <w:r>
        <w:t>Fachanwalt für Bau- und Architektenrecht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