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Gerichtliche Verfügung — Anhörungstermin und Aktenherausgabe</w:t>
      </w:r>
    </w:p>
    <w:p>
      <w:pPr>
        <w:jc w:val="left"/>
      </w:pPr>
      <w:r>
        <w:t>LG Regensburg, 4. Zivilkammer</w:t>
      </w:r>
    </w:p>
    <w:p>
      <w:pPr>
        <w:jc w:val="left"/>
      </w:pPr>
      <w:r>
        <w:t>Aktenzeichen 4 O 1287/24</w:t>
      </w:r>
    </w:p>
    <w:p>
      <w:pPr>
        <w:jc w:val="left"/>
      </w:pPr>
      <w:r>
        <w:t>Datum: 09.12.2025</w:t>
      </w:r>
    </w:p>
    <w:p>
      <w:pPr>
        <w:jc w:val="left"/>
      </w:pPr>
      <w:r>
        <w:t>Ergehen: nach Beschluss der Kammer in der Sitzung vom 04.12.2025</w:t>
      </w:r>
    </w:p>
    <w:p>
      <w:pPr>
        <w:jc w:val="left"/>
      </w:pPr>
      <w:r>
        <w:t>Ausfertigung: an die Parteien sowie an den Sachverständigen Pfaffenberger; nachrichtlich an die Bayerische Architekten- und Ingenieurkammer (Anlassbericht erst nach Beweisaufnahme)</w:t>
      </w:r>
    </w:p>
    <w:p>
      <w:pPr>
        <w:jc w:val="left"/>
      </w:pPr>
      <w:r>
        <w:t>In dem Rechtsstreit</w:t>
      </w:r>
    </w:p>
    <w:p>
      <w:pPr>
        <w:jc w:val="left"/>
      </w:pPr>
      <w:r>
        <w:t>Sieglinger ./. Burgwald Energietechnik GmbH</w:t>
      </w:r>
    </w:p>
    <w:p>
      <w:pPr>
        <w:jc w:val="left"/>
      </w:pPr>
      <w:r>
        <w:t>ergeht folgende</w:t>
      </w:r>
    </w:p>
    <w:p>
      <w:pPr>
        <w:jc w:val="left"/>
      </w:pPr>
      <w:r>
        <w:t>Verfügung:</w:t>
      </w:r>
    </w:p>
    <w:p>
      <w:pPr>
        <w:pStyle w:val="ListNumber"/>
      </w:pPr>
      <w:r>
        <w:t>Termin zur mündlichen Erläuterung des Gutachtens des Sachverständigen Dipl.-Ing. Edmund Pfaffenberger vom 28.10.2025 wird gemäß § 411 Abs. 3 ZPO angesetzt auf</w:t>
      </w:r>
    </w:p>
    <w:p>
      <w:pPr>
        <w:jc w:val="left"/>
      </w:pPr>
      <w:r>
        <w:t>Donnerstag, den 22.01.2026, 09:30 Uhr,</w:t>
      </w:r>
    </w:p>
    <w:p>
      <w:pPr>
        <w:jc w:val="left"/>
      </w:pPr>
      <w:r>
        <w:t>Sitzungssaal 4.142, Landgericht Regensburg, Augustenstrasse 5</w:t>
      </w:r>
    </w:p>
    <w:p>
      <w:pPr>
        <w:jc w:val="left"/>
      </w:pPr>
      <w:r>
        <w:t>Der Sachverständige hat persönlich zu erscheinen. Die Parteien sind über den Termin informiert.</w:t>
      </w:r>
    </w:p>
    <w:p>
      <w:pPr>
        <w:pStyle w:val="ListNumber"/>
      </w:pPr>
      <w:r>
        <w:t>Der Sachverständige wird gemäß § 407a Abs. 5 ZPO aufgefordert, bis zum 08.01.2026 die folgenden Unterlagen zur Akte zu reichen:</w:t>
      </w:r>
    </w:p>
    <w:p>
      <w:pPr>
        <w:jc w:val="left"/>
      </w:pPr>
      <w:r>
        <w:t>a) Ortsterminprotokoll vom 16.07.2025 mit Anwesenheitsliste, Zeitprotokoll, vorgenommenen Messungen und festgehaltenen Beobachtungen;</w:t>
      </w:r>
    </w:p>
    <w:p>
      <w:pPr>
        <w:jc w:val="left"/>
      </w:pPr>
      <w:r>
        <w:t>b) Messprotokolle aller im Rahmen der Begutachtung erhobenen Messdaten (Stromertrag, Anlagenleistung, Witterungsdaten, Wechselrichter-Telemetrie);</w:t>
      </w:r>
    </w:p>
    <w:p>
      <w:pPr>
        <w:jc w:val="left"/>
      </w:pPr>
      <w:r>
        <w:t>c) Berechnungsdokumentation der Anlagenleistung mit Angabe der Berechnungsmethode und der herangezogenen Software;</w:t>
      </w:r>
    </w:p>
    <w:p>
      <w:pPr>
        <w:jc w:val="left"/>
      </w:pPr>
      <w:r>
        <w:t>d) Liste der herangezogenen Normen und Regelwerke mit Angabe der konkret in Bezug genommenen Stellen;</w:t>
      </w:r>
    </w:p>
    <w:p>
      <w:pPr>
        <w:jc w:val="left"/>
      </w:pPr>
      <w:r>
        <w:t>e) Liste aller Mitarbeiter im Sinne des § 407a Abs. 3 ZPO mit Angabe der jeweiligen Tätigkeit;</w:t>
      </w:r>
    </w:p>
    <w:p>
      <w:pPr>
        <w:jc w:val="left"/>
      </w:pPr>
      <w:r>
        <w:t>f) Liste der eingesetzten technischen Hilfsmittel (Software, Datenbanken, etc.) mit Angabe der Funktion;</w:t>
      </w:r>
    </w:p>
    <w:p>
      <w:pPr>
        <w:jc w:val="left"/>
      </w:pPr>
      <w:r>
        <w:t>g) Vorbereitende Korrespondenz mit dem Kläger und der Beklagten;</w:t>
      </w:r>
    </w:p>
    <w:p>
      <w:pPr>
        <w:jc w:val="left"/>
      </w:pPr>
      <w:r>
        <w:t>h) Eine Erklärung, ob und in welchem Umfang sogenannte automatisierte Sprachsysteme (large language models, KI-basierte Schreibassistenten o. ä.) bei der Texterstellung verwendet wurden, und falls ja, welche.</w:t>
      </w:r>
    </w:p>
    <w:p>
      <w:pPr>
        <w:pStyle w:val="ListNumber"/>
      </w:pPr>
      <w:r>
        <w:t>Die Parteien werden aufgefordert, bis zum 15.01.2026 ihre Fragen an den Sachverständigen schriftsaetzlich anzukündigen, soweit eine Aufstellung im Vorfeld zumutbar ist (§ 397 i. V. m. § 402 ZPO).</w:t>
      </w:r>
    </w:p>
    <w:p>
      <w:pPr>
        <w:pStyle w:val="ListNumber"/>
      </w:pPr>
      <w:r>
        <w:t>Auf die Folgen einer unterlassenen Mitwirkung des Sachverständigen wird hingewiesen (§ 407a Abs. 5 S. 2 ZPO; ggf. Festsetzung der Vergütung auf einen geringeren Betrag, § 8a Abs. 2 JVEG; ggf. Bestellung eines anderen Sachverständigen, § 412 ZPO).</w:t>
      </w:r>
    </w:p>
    <w:p>
      <w:pPr>
        <w:pStyle w:val="ListNumber"/>
      </w:pPr>
      <w:r>
        <w:t>Zur Frage der zitierten Norm "VDE-AR-N 4105" wird der Sachverständige um konkretisierte Stellungnahme ersucht.</w:t>
      </w:r>
    </w:p>
    <w:p>
      <w:pPr>
        <w:pStyle w:val="ListNumber"/>
      </w:pPr>
      <w:r>
        <w:t>Der Klaegerseite wird mit Frist 15.01.2026 Gelegenheit gegeben, zu der mit Schriftsatz vom 02.12.2025 angekündigten Klaegerseiten-Strategie weitergehende Anträge zu stellen, insbesondere zur Frage der Beauftragung eines weiteren Sachverständigen (§ 412 ZPO).</w:t>
      </w:r>
    </w:p>
    <w:p>
      <w:pPr>
        <w:jc w:val="left"/>
      </w:pPr>
      <w:r>
        <w:t>Hinweis: Eine Entscheidung über einen etwaigen Befangenheitsantrag setzt die rechtzeitige Stellung nach § 406 Abs. 2 ZPO voraus.</w:t>
      </w:r>
    </w:p>
    <w:p>
      <w:pPr>
        <w:jc w:val="left"/>
      </w:pPr>
      <w:r>
        <w:t>Regensburg, 09.12.2025</w:t>
      </w:r>
    </w:p>
    <w:p>
      <w:pPr>
        <w:jc w:val="left"/>
      </w:pPr>
      <w:r>
        <w:t>Dr. Fellner</w:t>
      </w:r>
    </w:p>
    <w:p>
      <w:pPr>
        <w:jc w:val="left"/>
      </w:pPr>
      <w:r>
        <w:t>Vorsitzender der 4. Zivilkammer</w:t>
      </w:r>
    </w:p>
    <w:p>
      <w:pPr>
        <w:pStyle w:val="Heading2"/>
      </w:pPr>
      <w:r>
        <w:rPr>
          <w:rFonts w:ascii="Times New Roman" w:hAnsi="Times New Roman"/>
        </w:rPr>
        <w:t>Anmerkung Kanzleiführung Knoblauch, 10.12.2025</w:t>
      </w:r>
    </w:p>
    <w:p>
      <w:pPr>
        <w:jc w:val="left"/>
      </w:pPr>
      <w:r>
        <w:t>Wichtige Erkenntnisse aus der Verfügung:</w:t>
      </w:r>
    </w:p>
    <w:p>
      <w:pPr>
        <w:pStyle w:val="ListNumber"/>
      </w:pPr>
      <w:r>
        <w:t>Die Kammer hat den Anhörungsantrag praktisch eins zu eins übernommen. Ziff. 2 lit. f und h gehen sogar weiter als unser Antrag — die Kammer fragt aktiv nach KI-Einsatz. Das stützt die Strategie und reduziert das Risiko des "Anwalt verliert Boden".</w:t>
      </w:r>
    </w:p>
    <w:p>
      <w:pPr>
        <w:pStyle w:val="ListNumber"/>
      </w:pPr>
      <w:r>
        <w:t>Ziff. 5 zur VDE-AR-N 4105 ist eine direkte Aufforderung an den SV, die Norm zu erklären — ein guter Hinweis für unsere Stufe 2 (Methodikangriff).</w:t>
      </w:r>
    </w:p>
    <w:p>
      <w:pPr>
        <w:pStyle w:val="ListNumber"/>
      </w:pPr>
      <w:r>
        <w:t>Frist § 406 Abs. 2 ZPO läuft für den Befangenheitsantrag erst nach Kenntnis der konkretisierten Anhaltspunkte. Unsere Linie "erst Anhörung, dann Befangenheit" wird durch die Verfügung gestützt.</w:t>
      </w:r>
    </w:p>
    <w:p>
      <w:pPr>
        <w:pStyle w:val="ListNumber"/>
      </w:pPr>
      <w:r>
        <w:t>Der Termin am 22.01.2026 ist eng — Privatgutachten Wallner II muss bis dahin in Auftrag sein, damit es zumindest als Indizienquelle vorliegt.</w:t>
      </w:r>
    </w:p>
    <w:p>
      <w:pPr>
        <w:jc w:val="left"/>
      </w:pPr>
      <w:r>
        <w:t>Nächster Schritt:</w:t>
      </w:r>
    </w:p>
    <w:p>
      <w:pPr>
        <w:pStyle w:val="ListBullet"/>
      </w:pPr>
      <w:r>
        <w:t>Vorbereitung Fragenkatalog Anhörung (siehe 14_fragenkatalog_anhoerung.md, in Vorbereitung).</w:t>
      </w:r>
    </w:p>
    <w:p>
      <w:pPr>
        <w:pStyle w:val="ListBullet"/>
      </w:pPr>
      <w:r>
        <w:t>Mandant über Termin informieren.</w:t>
      </w:r>
    </w:p>
    <w:p>
      <w:pPr>
        <w:pStyle w:val="ListBullet"/>
      </w:pPr>
      <w:r>
        <w:t>Wallner-Erweiterungsauftrag final auswerten.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