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 Antrag auf Ablehnung des Sachverständigen Pfaffenberger</w:t>
      </w:r>
    </w:p>
    <w:p>
      <w:pPr>
        <w:jc w:val="left"/>
      </w:pPr>
      <w:r>
        <w:t>[ENTWURF — zur Pruefung durch RA Knoblauch und RA Sperling, Senior Review erforderlich]</w:t>
      </w:r>
    </w:p>
    <w:p>
      <w:pPr>
        <w:jc w:val="left"/>
      </w:pPr>
      <w:r>
        <w:t>[Stand 23.01.2026, einen Tag nach Anhörung — noch nicht eingereicht]</w:t>
      </w:r>
    </w:p>
    <w:p>
      <w:pPr>
        <w:jc w:val="left"/>
      </w:pPr>
      <w:r>
        <w:t>An das Landgericht Regensburg</w:t>
      </w:r>
    </w:p>
    <w:p>
      <w:pPr>
        <w:pStyle w:val="ListNumber"/>
      </w:pPr>
      <w:r>
        <w:t>Zivilkammer</w:t>
      </w:r>
    </w:p>
    <w:p>
      <w:pPr>
        <w:jc w:val="left"/>
      </w:pPr>
      <w:r>
        <w:t>Aktenzeichen: 4 O 1287/24</w:t>
      </w:r>
    </w:p>
    <w:p>
      <w:pPr>
        <w:jc w:val="left"/>
      </w:pPr>
      <w:r>
        <w:t>In dem Rechtsstreit</w:t>
      </w:r>
    </w:p>
    <w:p>
      <w:pPr>
        <w:jc w:val="left"/>
      </w:pPr>
      <w:r>
        <w:t>Sieglinger ./. Burgwald Energietechnik GmbH</w:t>
      </w:r>
    </w:p>
    <w:p>
      <w:pPr>
        <w:jc w:val="left"/>
      </w:pPr>
      <w:r>
        <w:t>stellen wir namens und in Vollmacht des Klägers</w:t>
      </w:r>
    </w:p>
    <w:p>
      <w:pPr>
        <w:jc w:val="left"/>
      </w:pPr>
      <w:r>
        <w:rPr>
          <w:b/>
        </w:rPr>
        <w:t>Antrag</w:t>
      </w:r>
    </w:p>
    <w:p>
      <w:pPr>
        <w:jc w:val="left"/>
      </w:pPr>
      <w:r>
        <w:t>den Sachverständigen Dipl.-Ing. Edmund Pfaffenberger gemäß § 406 Abs. 1 ZPO i. V. m. § 42 Abs. 2 ZPO wegen Besorgnis der Befangenheit abzulehnen.</w:t>
      </w:r>
    </w:p>
    <w:p>
      <w:pPr>
        <w:pStyle w:val="Heading2"/>
      </w:pPr>
      <w:r>
        <w:rPr>
          <w:rFonts w:ascii="Times New Roman" w:hAnsi="Times New Roman"/>
        </w:rPr>
        <w:t>Begründung</w:t>
      </w:r>
    </w:p>
    <w:p>
      <w:pPr>
        <w:jc w:val="left"/>
      </w:pPr>
      <w:r>
        <w:t>Der Kläger hatte ursprünglich keinen Anlass zu einem Befangenheitsantrag. Erst durch die Stellungnahme des Sachverständigen vom 08.01.2026 und seine Aussagen in der mündlichen Anhörung vom 22.01.2026 sind die nachfolgenden konkreten Anhaltspunkte zutage getreten. Die Frist des § 406 Abs. 2 ZPO ist gewahrt: Die Kenntnis der hier vorgetragenen Tatsachen war dem Kläger erstmals nach dem 22.01.2026 möglich. Der vorliegende Antrag erfolgt deshalb innerhalb zweier Wochen ab Kenntnis (§ 406 Abs. 2 S. 2 ZPO).</w:t>
      </w:r>
    </w:p>
    <w:p>
      <w:pPr>
        <w:pStyle w:val="Heading3"/>
      </w:pPr>
      <w:r>
        <w:rPr>
          <w:rFonts w:ascii="Times New Roman" w:hAnsi="Times New Roman"/>
        </w:rPr>
        <w:t>I. Sachverhalt</w:t>
      </w:r>
    </w:p>
    <w:p>
      <w:pPr>
        <w:pStyle w:val="ListNumber"/>
      </w:pPr>
      <w:r>
        <w:t>Der Sachverständige Pfaffenberger hat sein Gutachten am 28.10.2025 schriftlich erstellt. Am 22.01.2026 fand auf gerichtliche Anordnung eine mündliche Erläuterung statt (Protokoll vom 22.01.2026, Bl. ... d. A.).</w:t>
      </w:r>
    </w:p>
    <w:p>
      <w:pPr>
        <w:pStyle w:val="ListNumber"/>
      </w:pPr>
      <w:r>
        <w:t>Bereits in seiner schriftlichen Stellungnahme vom 08.01.2026 hat der Sachverständige eingeräumt, einen KI-basierten Schreibassistenten ("TextPlus AI") für die Erstellung des Gutachtens eingesetzt zu haben. Eine vollständige Versionsverfolgung der von dem Schreibassistenten bearbeiteten Passagen kann der Sachverständige nicht vorlegen. Die im schriftlichen Gutachten genannte Norm "VDE-AR-N 4105" wurde vom Sachverständigen als nicht passgenau eingeräumt.</w:t>
      </w:r>
    </w:p>
    <w:p>
      <w:pPr>
        <w:pStyle w:val="ListNumber"/>
      </w:pPr>
      <w:r>
        <w:t>In der Anhörung vom 22.01.2026 hat der Sachverständige weiter eingeräumt:</w:t>
      </w:r>
    </w:p>
    <w:p>
      <w:pPr>
        <w:jc w:val="left"/>
      </w:pPr>
      <w:r>
        <w:t>a) keine eigenen Messungen der Anlagenleistung durchgeführt zu haben (statt dessen nur auf die Anlagenmonitor-Daten Sieglingers und auf PV-GIS-Daten zurückgegriffen);</w:t>
      </w:r>
    </w:p>
    <w:p>
      <w:pPr>
        <w:jc w:val="left"/>
      </w:pPr>
      <w:r>
        <w:t>b) die Wechselrichter nicht geöffnet zu haben;</w:t>
      </w:r>
    </w:p>
    <w:p>
      <w:pPr>
        <w:jc w:val="left"/>
      </w:pPr>
      <w:r>
        <w:t>c) keine Inaugenscheinnahme der Modulhalter von unten oder eine Demontage einer Stichprobe vorgenommen zu haben;</w:t>
      </w:r>
    </w:p>
    <w:p>
      <w:pPr>
        <w:jc w:val="left"/>
      </w:pPr>
      <w:r>
        <w:t>d) die Wassereintrittsstellen im Stallgebaeude nur kurz und nicht systematisch dokumentiert zu haben;</w:t>
      </w:r>
    </w:p>
    <w:p>
      <w:pPr>
        <w:jc w:val="left"/>
      </w:pPr>
      <w:r>
        <w:t>e) die Anlage zwar in der gleichen Stunde des Tages, jedoch ohne Berücksichtigung der Tag- und Jahreszeit verglichen zu haben;</w:t>
      </w:r>
    </w:p>
    <w:p>
      <w:pPr>
        <w:jc w:val="left"/>
      </w:pPr>
      <w:r>
        <w:t>f) die Mangelbeseitigungskosten ohne Bezugnahme auf das vorhandene Privatgutachten (Wallner und Partner vom 18.05.2024) pauschal mit "ca. 40.000 bis 60.000 EUR" geschätzt zu haben — auf Nachfrage in der Anhörung konnte er die Schätzung nicht aufschlüsseln.</w:t>
      </w:r>
    </w:p>
    <w:p>
      <w:pPr>
        <w:pStyle w:val="ListNumber"/>
      </w:pPr>
      <w:r>
        <w:t>Die nicht ersetzte Datumsmarke "[DATUM EINFÜGEN]" auf S. 28 des Gutachtens ist ein offenkundiger Reviewmangel, den der Sachverständige in der Anhörung als "bedauerliches Versehen" eingeräumt hat.</w:t>
      </w:r>
    </w:p>
    <w:p>
      <w:pPr>
        <w:pStyle w:val="ListNumber"/>
      </w:pPr>
      <w:r>
        <w:t>Auf konkrete Nachfrage in der Anhörung, ob er die Stellen, an denen der Schreibassistent unterstützend tätig war, benennen könne, gab der Sachverständige an: "Das lässt sich heute nicht mehr nachvollziehen. Es waren punktuelle Glättungen, ich kann nicht mehr sagen, wo genau."</w:t>
      </w:r>
    </w:p>
    <w:p>
      <w:pPr>
        <w:pStyle w:val="Heading3"/>
      </w:pPr>
      <w:r>
        <w:rPr>
          <w:rFonts w:ascii="Times New Roman" w:hAnsi="Times New Roman"/>
        </w:rPr>
        <w:t>II. Rechtliche Würdigung</w:t>
      </w:r>
    </w:p>
    <w:p>
      <w:pPr>
        <w:jc w:val="left"/>
      </w:pPr>
      <w:r>
        <w:t>Nach § 406 Abs. 1 ZPO i. V. m. § 42 Abs. 2 ZPO kann ein Sachverständiger abgelehnt werden, wenn aus Sicht einer verständigen Partei eine Besorgnis besteht, der Sachverständige werde nicht unparteiisch und sachgerecht entscheiden. Massgeblich ist nicht eine subjektive Befürchtung der Partei, sondern eine bei objektiver Betrachtung berechtigte Besorgnis (BGH, Beschluss vom 09.05.2017, VI ZB 51/16 — Verifikation des Aktenzeichens in der amtlichen Sammlung bislang ausstehend; bitte vor Einreichung sorgfältig prüfen).</w:t>
      </w:r>
    </w:p>
    <w:p>
      <w:pPr>
        <w:jc w:val="left"/>
      </w:pPr>
      <w:r>
        <w:t>Die im vorliegenden Fall festgestellten Umstände begründen bei objektiver Würdigung eine Besorgnis der Befangenheit aus mehreren Gründen:</w:t>
      </w:r>
    </w:p>
    <w:p>
      <w:pPr>
        <w:pStyle w:val="ListNumber"/>
      </w:pPr>
      <w:r>
        <w:rPr>
          <w:b/>
        </w:rPr>
        <w:t>Verletzung der persönlichen Erstellungspflicht (§ 407a Abs. 1 ZPO).</w:t>
      </w:r>
      <w:r>
        <w:t xml:space="preserve"> Die persönliche Erstellung des Gutachtens ist die zentrale Wirksamkeitsvoraussetzung der gerichtlichen Beweisaufnahme durch Sachverstaendigengutachten. Der Sachverständige darf zwar technische Hilfsmittel — und nach der Rechtsprechung auch Hilfspersonen unter Beachtung von § 407a Abs. 3 ZPO — einsetzen, muss aber die inhaltliche Letztverantwortung wahren. Wenn er — wie hier — nicht angeben kann, an welchen Stellen ein KI-Schreibassistent inhaltsbeeinflussend mitgewirkt hat, ist seine Letztverantwortung nicht nachvollziehbar.</w:t>
      </w:r>
    </w:p>
    <w:p>
      <w:pPr>
        <w:pStyle w:val="ListNumber"/>
      </w:pPr>
      <w:r>
        <w:rPr>
          <w:b/>
        </w:rPr>
        <w:t>Methodische Unzulänglichkeit.</w:t>
      </w:r>
      <w:r>
        <w:t xml:space="preserve"> Die fehlenden Messungen, die fehlende Öffnung der Wechselrichter und die fehlende Demontage einer Modulhalter-Stichprobe machen es einer verständigen Partei unmöglich, das Gutachten als sachgerecht zu erleben. Hinzu kommt, dass der Sachverständige sich nicht mit dem in der Akte befindlichen Privatgutachten Wallner auseinandergesetzt hat, sondern pauschal geschätzt hat.</w:t>
      </w:r>
    </w:p>
    <w:p>
      <w:pPr>
        <w:pStyle w:val="ListNumber"/>
      </w:pPr>
      <w:r>
        <w:rPr>
          <w:b/>
        </w:rPr>
        <w:t>Konkrete Falschzitierung einer Norm.</w:t>
      </w:r>
      <w:r>
        <w:t xml:space="preserve"> Die Verwendung der "VDE-AR-N 4105" anstelle der einschlägigen VDE 0126-1-1 ist nicht eine spitzfindige Fachdiskussion, sondern ein Reviewfehler, der gerade durch den eingestandenen Einsatz eines Schreibassistenten — der keine Norminhalte selbst prüfen kann — entstanden sein dürfte.</w:t>
      </w:r>
    </w:p>
    <w:p>
      <w:pPr>
        <w:pStyle w:val="ListNumber"/>
      </w:pPr>
      <w:r>
        <w:rPr>
          <w:b/>
        </w:rPr>
        <w:t>Vorlagenfragmente im Text.</w:t>
      </w:r>
      <w:r>
        <w:t xml:space="preserve"> Die nicht ersetzte Datumsmarke "[DATUM EINFÜGEN]" zeigt, dass der Sachverständige die Endkontrolle des Gutachtens nicht im erforderlichen Umfang vorgenommen hat. Dies ist mit der Sorgfalt eines öffentlich bestellten und vereidigten Sachverständigen, der die Letztverantwortung für den Inhalt trägt, nicht vereinbar.</w:t>
      </w:r>
    </w:p>
    <w:p>
      <w:pPr>
        <w:pStyle w:val="ListNumber"/>
      </w:pPr>
      <w:r>
        <w:rPr>
          <w:b/>
        </w:rPr>
        <w:t>Kumulative Wirkung.</w:t>
      </w:r>
      <w:r>
        <w:t xml:space="preserve"> Einzelne dieser Beanstandungen könnten für sich genommen nicht zur Befangenheit führen. In ihrer Kumulation begründen sie jedoch ein nachvollziehbares Misstrauen der Klaegerpartei, dass der Sachverständige seinem Beweisthema nicht die erforderliche eigene Sorgfalt und Aufmerksamkeit hat zukommen lassen.</w:t>
      </w:r>
    </w:p>
    <w:p>
      <w:pPr>
        <w:pStyle w:val="Heading3"/>
      </w:pPr>
      <w:r>
        <w:rPr>
          <w:rFonts w:ascii="Times New Roman" w:hAnsi="Times New Roman"/>
        </w:rPr>
        <w:t>III. Ergänzende Anträge</w:t>
      </w:r>
    </w:p>
    <w:p>
      <w:pPr>
        <w:jc w:val="left"/>
      </w:pPr>
      <w:r>
        <w:t>Hilfsweise — sollten die Voraussetzungen einer Ablehnung wider Erwarten nicht angenommen werden — beantragen wir:</w:t>
      </w:r>
    </w:p>
    <w:p>
      <w:pPr>
        <w:pStyle w:val="ListNumber"/>
      </w:pPr>
      <w:r>
        <w:t>die Einholung eines neuen Sachverstaendigengutachtens (§ 412 Abs. 1 ZPO);</w:t>
      </w:r>
    </w:p>
    <w:p>
      <w:pPr>
        <w:pStyle w:val="ListNumber"/>
      </w:pPr>
      <w:r>
        <w:t>die Vergütung des Sachverständigen Pfaffenberger gemäß § 8a Abs. 2 S. 1 Nr. 2 JVEG nicht oder nur teilweise festzusetzen, weil die Mängel des Gutachtens auch ein Verschulden des Sachverständigen begründen;</w:t>
      </w:r>
    </w:p>
    <w:p>
      <w:pPr>
        <w:pStyle w:val="ListNumber"/>
      </w:pPr>
      <w:r>
        <w:t>dem Sachverständigen die Vorlage einer vollständigen Liste der mit dem Schreibassistenten bearbeiteten Passagen, soweit technisch noch möglich, aufzugeben.</w:t>
      </w:r>
    </w:p>
    <w:p>
      <w:pPr>
        <w:jc w:val="left"/>
      </w:pPr>
      <w:r>
        <w:t>Hilfsweise: bei Bestätigung der Eignung des Pfaffenberger-Gutachtens beantragen wir die Einholung eines Ergänzungsgutachtens zu folgenden Punkten:</w:t>
      </w:r>
    </w:p>
    <w:p>
      <w:pPr>
        <w:jc w:val="left"/>
      </w:pPr>
      <w:r>
        <w:t>a) tatsächliche Anlagenleistung durch direkte Messung;</w:t>
      </w:r>
    </w:p>
    <w:p>
      <w:pPr>
        <w:jc w:val="left"/>
      </w:pPr>
      <w:r>
        <w:t>b) Funktionsfähigkeit der Wechselrichter durch Öffnung;</w:t>
      </w:r>
    </w:p>
    <w:p>
      <w:pPr>
        <w:jc w:val="left"/>
      </w:pPr>
      <w:r>
        <w:t>c) Dichtigkeit der Modulhalter durch Stichprobe;</w:t>
      </w:r>
    </w:p>
    <w:p>
      <w:pPr>
        <w:jc w:val="left"/>
      </w:pPr>
      <w:r>
        <w:t>d) Mangelbeseitigungskosten unter Bezugnahme auf das Privatgutachten Wallner und Partner.</w:t>
      </w:r>
    </w:p>
    <w:p>
      <w:pPr>
        <w:jc w:val="left"/>
      </w:pPr>
      <w:r>
        <w:t>Knoblauch</w:t>
      </w:r>
    </w:p>
    <w:p>
      <w:pPr>
        <w:jc w:val="left"/>
      </w:pPr>
      <w:r>
        <w:t>Rechtsanwältin</w:t>
      </w:r>
    </w:p>
    <w:p>
      <w:pPr>
        <w:pStyle w:val="Heading2"/>
      </w:pPr>
      <w:r>
        <w:rPr>
          <w:rFonts w:ascii="Times New Roman" w:hAnsi="Times New Roman"/>
        </w:rPr>
        <w:t>Prüfhinweis Sperling (Senior Review, 23.01.2026)</w:t>
      </w:r>
    </w:p>
    <w:p>
      <w:pPr>
        <w:jc w:val="left"/>
      </w:pPr>
      <w:r>
        <w:t>Wichtige Prüfungspunkte vor Einreichung:</w:t>
      </w:r>
    </w:p>
    <w:p>
      <w:pPr>
        <w:pStyle w:val="ListNumber"/>
      </w:pPr>
      <w:r>
        <w:rPr>
          <w:b/>
        </w:rPr>
        <w:t>BGH VI ZB 51/16 verifizieren.</w:t>
      </w:r>
      <w:r>
        <w:t xml:space="preserve"> Vor Einreichung bitte das genannte Aktenzeichen in der amtlichen Sammlung des BGH (BGHZ, BGH-Pressemitteilung oder bundesgerichtshof.de) verifizieren. Falls falsch zitiert: korrigieren oder durch eine prueftbare Entscheidung des BGH zur Befangenheit eines SV ersetzen. Hilfsweise auf OLG-Linie (OLG Nürnberg, OLG Muenchen) stützen.</w:t>
      </w:r>
    </w:p>
    <w:p>
      <w:pPr>
        <w:pStyle w:val="ListNumber"/>
      </w:pPr>
      <w:r>
        <w:rPr>
          <w:b/>
        </w:rPr>
        <w:t>Sprachliche Schärfe.</w:t>
      </w:r>
      <w:r>
        <w:t xml:space="preserve"> Den Begriff "KI-Schreibassistent inhaltsbeeinflussend" sehr vorsichtig verwenden. Pfaffenberger hat es selbst eingeräumt — das ist die stärkste Karte. Aber: nicht behaupten, das gesamte Gutachten sei "KI-erstellt".</w:t>
      </w:r>
    </w:p>
    <w:p>
      <w:pPr>
        <w:pStyle w:val="ListNumber"/>
      </w:pPr>
      <w:r>
        <w:rPr>
          <w:b/>
        </w:rPr>
        <w:t>Anhörungsprotokoll.</w:t>
      </w:r>
      <w:r>
        <w:t xml:space="preserve"> Vor Einreichung das Anhörungsprotokoll vom 22.01.2026 in den Antrag einbinden (Zitatstellen mit Bl.-Nummern). Sonst Risiko, dass die Kammer die Tatsachenbasis als unsubstantiiert ansieht.</w:t>
      </w:r>
    </w:p>
    <w:p>
      <w:pPr>
        <w:pStyle w:val="ListNumber"/>
      </w:pPr>
      <w:r>
        <w:rPr>
          <w:b/>
        </w:rPr>
        <w:t>Zwei-Wochen-Frist § 406 Abs. 2 ZPO.</w:t>
      </w:r>
      <w:r>
        <w:t xml:space="preserve"> Der Antrag muss spätestens am 05.02.2026 (14 Tage nach Anhörung) eingereicht sein. Wir haben bis dahin Zeit, aber nicht viel.</w:t>
      </w:r>
    </w:p>
    <w:p>
      <w:pPr>
        <w:pStyle w:val="ListNumber"/>
      </w:pPr>
      <w:r>
        <w:rPr>
          <w:b/>
        </w:rPr>
        <w:t>Risiko Streisand-Effekt.</w:t>
      </w:r>
      <w:r>
        <w:t xml:space="preserve"> Falls der Befangenheitsantrag abgelehnt wird, kann das die Verfahrensposition der Klaegerseite schwächen. Mandant darüber informieren.</w:t>
      </w:r>
    </w:p>
    <w:p>
      <w:pPr>
        <w:jc w:val="left"/>
      </w:pPr>
      <w:r>
        <w:t>Empfehlung: Antrag in der vorliegenden Struktur einreichen, aber</w:t>
      </w:r>
    </w:p>
    <w:p>
      <w:pPr>
        <w:pStyle w:val="ListBullet"/>
      </w:pPr>
      <w:r>
        <w:t>Aktenzeichen BGH verifizieren bzw. ersetzen,</w:t>
      </w:r>
    </w:p>
    <w:p>
      <w:pPr>
        <w:pStyle w:val="ListBullet"/>
      </w:pPr>
      <w:r>
        <w:t>Anhörungsprotokoll-Stellen einarbeiten,</w:t>
      </w:r>
    </w:p>
    <w:p>
      <w:pPr>
        <w:pStyle w:val="ListBullet"/>
      </w:pPr>
      <w:r>
        <w:t>mögliches Ergänzungsgutachten stärker betonen (entspannungspolitisch),</w:t>
      </w:r>
    </w:p>
    <w:p>
      <w:pPr>
        <w:pStyle w:val="ListBullet"/>
      </w:pPr>
      <w:r>
        <w:t>Mandant final informieren.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